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8" w:rsidRPr="008277C8" w:rsidRDefault="008277C8" w:rsidP="008277C8">
      <w:pPr>
        <w:jc w:val="center"/>
        <w:rPr>
          <w:b/>
          <w:sz w:val="28"/>
        </w:rPr>
      </w:pPr>
      <w:bookmarkStart w:id="0" w:name="_GoBack"/>
      <w:bookmarkEnd w:id="0"/>
      <w:r w:rsidRPr="008277C8">
        <w:rPr>
          <w:b/>
          <w:sz w:val="28"/>
        </w:rPr>
        <w:t>Раздел «Международное сотрудничество»</w:t>
      </w:r>
    </w:p>
    <w:p w:rsidR="008277C8" w:rsidRDefault="008277C8" w:rsidP="008277C8">
      <w:pPr>
        <w:jc w:val="right"/>
      </w:pPr>
      <w:r>
        <w:t>УДК</w:t>
      </w:r>
      <w:r w:rsidR="00FF0398">
        <w:t xml:space="preserve"> 630:33</w:t>
      </w:r>
    </w:p>
    <w:p w:rsidR="008277C8" w:rsidRDefault="008277C8" w:rsidP="008277C8">
      <w:pPr>
        <w:jc w:val="right"/>
      </w:pPr>
    </w:p>
    <w:p w:rsidR="00FC1B29" w:rsidRPr="008277C8" w:rsidRDefault="00FC245B" w:rsidP="008277C8">
      <w:pPr>
        <w:jc w:val="center"/>
        <w:rPr>
          <w:b/>
          <w:sz w:val="28"/>
        </w:rPr>
      </w:pPr>
      <w:r w:rsidRPr="008277C8">
        <w:rPr>
          <w:b/>
          <w:sz w:val="28"/>
        </w:rPr>
        <w:t>Э</w:t>
      </w:r>
      <w:r w:rsidR="00CE7EBC" w:rsidRPr="008277C8">
        <w:rPr>
          <w:b/>
          <w:sz w:val="28"/>
        </w:rPr>
        <w:t>кономические схемы</w:t>
      </w:r>
      <w:r w:rsidR="008E62D8">
        <w:rPr>
          <w:b/>
          <w:sz w:val="28"/>
        </w:rPr>
        <w:t xml:space="preserve"> </w:t>
      </w:r>
      <w:r w:rsidR="008277C8" w:rsidRPr="008277C8">
        <w:rPr>
          <w:b/>
          <w:sz w:val="28"/>
        </w:rPr>
        <w:t>«зелёной»</w:t>
      </w:r>
      <w:r w:rsidR="008277C8">
        <w:rPr>
          <w:b/>
          <w:sz w:val="28"/>
        </w:rPr>
        <w:t xml:space="preserve"> экономики</w:t>
      </w:r>
    </w:p>
    <w:p w:rsidR="008277C8" w:rsidRPr="008277C8" w:rsidRDefault="008E62D8" w:rsidP="008277C8">
      <w:pPr>
        <w:jc w:val="center"/>
        <w:rPr>
          <w:i/>
          <w:iCs/>
        </w:rPr>
      </w:pPr>
      <w:r w:rsidRPr="008277C8">
        <w:rPr>
          <w:i/>
        </w:rPr>
        <w:t>А.И.</w:t>
      </w:r>
      <w:r>
        <w:rPr>
          <w:i/>
        </w:rPr>
        <w:t xml:space="preserve"> </w:t>
      </w:r>
      <w:r w:rsidR="008277C8" w:rsidRPr="008277C8">
        <w:rPr>
          <w:i/>
        </w:rPr>
        <w:t>Писаренко</w:t>
      </w:r>
      <w:r>
        <w:rPr>
          <w:i/>
        </w:rPr>
        <w:t>, академик РАН,</w:t>
      </w:r>
      <w:r w:rsidR="008277C8" w:rsidRPr="008277C8">
        <w:rPr>
          <w:i/>
        </w:rPr>
        <w:t xml:space="preserve"> </w:t>
      </w:r>
      <w:r w:rsidRPr="008277C8">
        <w:rPr>
          <w:i/>
        </w:rPr>
        <w:t>В.В.</w:t>
      </w:r>
      <w:r>
        <w:rPr>
          <w:i/>
        </w:rPr>
        <w:t xml:space="preserve"> </w:t>
      </w:r>
      <w:r w:rsidR="008277C8" w:rsidRPr="008277C8">
        <w:rPr>
          <w:i/>
        </w:rPr>
        <w:t>Страхов, д</w:t>
      </w:r>
      <w:r>
        <w:rPr>
          <w:i/>
        </w:rPr>
        <w:t>.с.-х.</w:t>
      </w:r>
      <w:r w:rsidR="008277C8" w:rsidRPr="008277C8">
        <w:rPr>
          <w:i/>
        </w:rPr>
        <w:t>н</w:t>
      </w:r>
      <w:r>
        <w:rPr>
          <w:i/>
        </w:rPr>
        <w:t xml:space="preserve">., </w:t>
      </w:r>
      <w:r w:rsidR="008277C8" w:rsidRPr="008277C8">
        <w:rPr>
          <w:i/>
        </w:rPr>
        <w:t>ВНИИЛМ</w:t>
      </w:r>
    </w:p>
    <w:p w:rsidR="001612CC" w:rsidRDefault="001612CC" w:rsidP="008277C8">
      <w:pPr>
        <w:rPr>
          <w:bCs/>
          <w:iCs/>
        </w:rPr>
      </w:pPr>
    </w:p>
    <w:p w:rsidR="008277C8" w:rsidRPr="001612CC" w:rsidRDefault="001612CC" w:rsidP="008277C8">
      <w:pPr>
        <w:rPr>
          <w:bCs/>
          <w:sz w:val="22"/>
        </w:rPr>
      </w:pPr>
      <w:r w:rsidRPr="001612CC">
        <w:rPr>
          <w:bCs/>
          <w:iCs/>
          <w:sz w:val="22"/>
        </w:rPr>
        <w:t>Статья содержит обзор ряда экономических моделей, которые в последние годы широко обсуждаются</w:t>
      </w:r>
      <w:r w:rsidR="00956C73">
        <w:rPr>
          <w:bCs/>
          <w:iCs/>
          <w:sz w:val="22"/>
        </w:rPr>
        <w:t xml:space="preserve"> </w:t>
      </w:r>
      <w:r w:rsidRPr="001612CC">
        <w:rPr>
          <w:bCs/>
          <w:iCs/>
          <w:sz w:val="22"/>
        </w:rPr>
        <w:t>на международных форумах в связи с развитием</w:t>
      </w:r>
      <w:r w:rsidR="00956C73">
        <w:rPr>
          <w:bCs/>
          <w:iCs/>
          <w:sz w:val="22"/>
        </w:rPr>
        <w:t xml:space="preserve"> </w:t>
      </w:r>
      <w:r w:rsidRPr="001612CC">
        <w:rPr>
          <w:bCs/>
          <w:sz w:val="22"/>
        </w:rPr>
        <w:t>зелёной экономики - зеленый рост, биоэкономика, циклическая или круговая экономика, инклюзивная экономика. Рассматривается ценность экосистемных услуг, предоставляемых лесами и учитывающих множество функций в таких областях, как биоразнообразие, уменьшение опасности бедствий, смягчение последствий изменения климата, вкупе с экономической и социальной значимостью различных лесных товаров. Оценки прогресса развития в направлении «зеленой» экономики требуют оценок стоимости природного капитала лесов, включая экосистемные услуги лесов, и включение этих понятий в систему экономических отношений, связанных с лесопользованием.</w:t>
      </w:r>
    </w:p>
    <w:p w:rsidR="001612CC" w:rsidRPr="001612CC" w:rsidRDefault="001612CC" w:rsidP="008277C8">
      <w:pPr>
        <w:rPr>
          <w:iCs/>
          <w:sz w:val="22"/>
        </w:rPr>
      </w:pPr>
      <w:r w:rsidRPr="001612CC">
        <w:rPr>
          <w:bCs/>
          <w:i/>
          <w:sz w:val="22"/>
        </w:rPr>
        <w:t>Ключевые слова</w:t>
      </w:r>
      <w:r>
        <w:rPr>
          <w:bCs/>
          <w:sz w:val="22"/>
        </w:rPr>
        <w:t>: «з</w:t>
      </w:r>
      <w:r w:rsidRPr="001612CC">
        <w:rPr>
          <w:bCs/>
          <w:sz w:val="22"/>
        </w:rPr>
        <w:t>елёная</w:t>
      </w:r>
      <w:r>
        <w:rPr>
          <w:bCs/>
          <w:sz w:val="22"/>
        </w:rPr>
        <w:t>»</w:t>
      </w:r>
      <w:r w:rsidRPr="001612CC">
        <w:rPr>
          <w:bCs/>
          <w:sz w:val="22"/>
        </w:rPr>
        <w:t xml:space="preserve"> экономика, зеленый рост, биоэкономика, циклическая или круговая экономика, инклюзивная экономика, экосистемные услуги, предоставляемые лесами, природный капитал лесов.</w:t>
      </w:r>
    </w:p>
    <w:p w:rsidR="001612CC" w:rsidRDefault="001612CC" w:rsidP="008277C8">
      <w:pPr>
        <w:rPr>
          <w:iCs/>
        </w:rPr>
      </w:pPr>
    </w:p>
    <w:p w:rsidR="00FC1B29" w:rsidRPr="00FC1B29" w:rsidRDefault="00FC1B29" w:rsidP="008277C8">
      <w:pPr>
        <w:rPr>
          <w:iCs/>
        </w:rPr>
      </w:pPr>
      <w:r w:rsidRPr="00FC1B29">
        <w:rPr>
          <w:iCs/>
        </w:rPr>
        <w:t>В докладе ЮНЕП «Зеленая экономика» приведена «дорожная карта» для разработчиков госполитики и для частного сектора, а также для лесного сектора и</w:t>
      </w:r>
      <w:r w:rsidR="00956C73">
        <w:rPr>
          <w:iCs/>
        </w:rPr>
        <w:t xml:space="preserve"> </w:t>
      </w:r>
      <w:r w:rsidRPr="00FC1B29">
        <w:rPr>
          <w:iCs/>
        </w:rPr>
        <w:t xml:space="preserve">жителей лесных регионов по продвижению к </w:t>
      </w:r>
      <w:r w:rsidR="007E32A8">
        <w:rPr>
          <w:iCs/>
        </w:rPr>
        <w:t>«</w:t>
      </w:r>
      <w:r w:rsidRPr="00FC1B29">
        <w:rPr>
          <w:iCs/>
        </w:rPr>
        <w:t>зелёной</w:t>
      </w:r>
      <w:r w:rsidR="007E32A8">
        <w:rPr>
          <w:iCs/>
        </w:rPr>
        <w:t>»</w:t>
      </w:r>
      <w:r w:rsidRPr="00FC1B29">
        <w:rPr>
          <w:iCs/>
        </w:rPr>
        <w:t xml:space="preserve"> экономике. В этом документе</w:t>
      </w:r>
      <w:r w:rsidR="00885481">
        <w:rPr>
          <w:iCs/>
        </w:rPr>
        <w:t>,</w:t>
      </w:r>
      <w:r w:rsidRPr="00FC1B29">
        <w:rPr>
          <w:iCs/>
        </w:rPr>
        <w:t xml:space="preserve"> </w:t>
      </w:r>
      <w:r w:rsidR="00885481" w:rsidRPr="00FC1B29">
        <w:rPr>
          <w:iCs/>
        </w:rPr>
        <w:t>основанн</w:t>
      </w:r>
      <w:r w:rsidR="00885481">
        <w:rPr>
          <w:iCs/>
        </w:rPr>
        <w:t>ом</w:t>
      </w:r>
      <w:r w:rsidR="00885481" w:rsidRPr="00FC1B29">
        <w:rPr>
          <w:iCs/>
        </w:rPr>
        <w:t xml:space="preserve"> на фактических данных</w:t>
      </w:r>
      <w:r w:rsidR="00885481">
        <w:rPr>
          <w:iCs/>
        </w:rPr>
        <w:t>,</w:t>
      </w:r>
      <w:r w:rsidR="00885481" w:rsidRPr="00FC1B29">
        <w:rPr>
          <w:iCs/>
        </w:rPr>
        <w:t xml:space="preserve"> </w:t>
      </w:r>
      <w:r w:rsidRPr="00FC1B29">
        <w:rPr>
          <w:iCs/>
        </w:rPr>
        <w:t xml:space="preserve">представлен обзор роли лесов в </w:t>
      </w:r>
      <w:r w:rsidR="007E32A8">
        <w:rPr>
          <w:iCs/>
        </w:rPr>
        <w:t>«</w:t>
      </w:r>
      <w:r w:rsidRPr="00FC1B29">
        <w:rPr>
          <w:iCs/>
        </w:rPr>
        <w:t>зеленой</w:t>
      </w:r>
      <w:r w:rsidR="007E32A8">
        <w:rPr>
          <w:iCs/>
        </w:rPr>
        <w:t>»</w:t>
      </w:r>
      <w:r w:rsidRPr="00FC1B29">
        <w:rPr>
          <w:iCs/>
        </w:rPr>
        <w:t xml:space="preserve"> экономике, рекомендации по политике в отношении лесов в </w:t>
      </w:r>
      <w:r w:rsidR="007E32A8">
        <w:rPr>
          <w:iCs/>
        </w:rPr>
        <w:t>«</w:t>
      </w:r>
      <w:r w:rsidRPr="00FC1B29">
        <w:rPr>
          <w:iCs/>
        </w:rPr>
        <w:t>зеленой</w:t>
      </w:r>
      <w:r w:rsidR="007E32A8">
        <w:rPr>
          <w:iCs/>
        </w:rPr>
        <w:t>»</w:t>
      </w:r>
      <w:r w:rsidRPr="00FC1B29">
        <w:rPr>
          <w:iCs/>
        </w:rPr>
        <w:t xml:space="preserve"> экономике и ряд успешных примеров. Помимо </w:t>
      </w:r>
      <w:r w:rsidR="007E32A8">
        <w:rPr>
          <w:iCs/>
        </w:rPr>
        <w:t>э</w:t>
      </w:r>
      <w:r w:rsidRPr="00FC1B29">
        <w:rPr>
          <w:iCs/>
        </w:rPr>
        <w:t>того в документе сформулирован вывод о том, что правительствам и международному сообществу для полного осознания преимуществ лесов в условиях «зеленой» экономики необходимо будет играть активную роль</w:t>
      </w:r>
      <w:r w:rsidR="00956C73">
        <w:rPr>
          <w:iCs/>
        </w:rPr>
        <w:t xml:space="preserve"> </w:t>
      </w:r>
      <w:r w:rsidRPr="00FC1B29">
        <w:rPr>
          <w:iCs/>
        </w:rPr>
        <w:t>в создании стимулов для инвестирования в леса и устранения препятствий для прохождения рыночных сигналов. Государства</w:t>
      </w:r>
      <w:r w:rsidR="00956C73">
        <w:rPr>
          <w:iCs/>
        </w:rPr>
        <w:t xml:space="preserve"> </w:t>
      </w:r>
      <w:r w:rsidRPr="00FC1B29">
        <w:rPr>
          <w:iCs/>
        </w:rPr>
        <w:t xml:space="preserve">и их правительства имеют для этого эффективный инструмент </w:t>
      </w:r>
      <w:r w:rsidR="007E32A8">
        <w:rPr>
          <w:iCs/>
        </w:rPr>
        <w:t>–</w:t>
      </w:r>
      <w:r w:rsidRPr="00FC1B29">
        <w:rPr>
          <w:iCs/>
        </w:rPr>
        <w:t xml:space="preserve"> проведение политических реформ. </w:t>
      </w:r>
    </w:p>
    <w:p w:rsidR="00FC1B29" w:rsidRPr="00FC1B29" w:rsidRDefault="00FD4D42" w:rsidP="008277C8">
      <w:pPr>
        <w:rPr>
          <w:iCs/>
        </w:rPr>
      </w:pPr>
      <w:r>
        <w:rPr>
          <w:iCs/>
        </w:rPr>
        <w:t>С точки з</w:t>
      </w:r>
      <w:r w:rsidR="00885481">
        <w:rPr>
          <w:iCs/>
        </w:rPr>
        <w:t>р</w:t>
      </w:r>
      <w:r>
        <w:rPr>
          <w:iCs/>
        </w:rPr>
        <w:t>ения позиции ЮНЕП в</w:t>
      </w:r>
      <w:r w:rsidR="00FC1B29" w:rsidRPr="00FC1B29">
        <w:rPr>
          <w:iCs/>
        </w:rPr>
        <w:t>ажным</w:t>
      </w:r>
      <w:r>
        <w:rPr>
          <w:iCs/>
        </w:rPr>
        <w:t>и</w:t>
      </w:r>
      <w:r w:rsidR="00FC1B29" w:rsidRPr="00FC1B29">
        <w:rPr>
          <w:iCs/>
        </w:rPr>
        <w:t xml:space="preserve"> пример</w:t>
      </w:r>
      <w:r>
        <w:rPr>
          <w:iCs/>
        </w:rPr>
        <w:t>ами</w:t>
      </w:r>
      <w:r w:rsidR="00FC1B29" w:rsidRPr="00FC1B29">
        <w:rPr>
          <w:iCs/>
        </w:rPr>
        <w:t xml:space="preserve"> эффективной гос</w:t>
      </w:r>
      <w:r w:rsidR="007E32A8">
        <w:rPr>
          <w:iCs/>
        </w:rPr>
        <w:t>политики</w:t>
      </w:r>
      <w:r w:rsidR="00956C73">
        <w:rPr>
          <w:iCs/>
        </w:rPr>
        <w:t xml:space="preserve"> </w:t>
      </w:r>
      <w:r w:rsidR="007E32A8">
        <w:rPr>
          <w:iCs/>
        </w:rPr>
        <w:t xml:space="preserve">являются: </w:t>
      </w:r>
      <w:r w:rsidR="00FC1B29" w:rsidRPr="00FC1B29">
        <w:rPr>
          <w:iCs/>
        </w:rPr>
        <w:t>1) установление</w:t>
      </w:r>
      <w:r w:rsidR="00956C73">
        <w:rPr>
          <w:iCs/>
        </w:rPr>
        <w:t xml:space="preserve"> </w:t>
      </w:r>
      <w:r w:rsidR="00FC1B29" w:rsidRPr="00FC1B29">
        <w:rPr>
          <w:iCs/>
        </w:rPr>
        <w:t>национальных правил ведения лесного хозяйства и рационального лесопользования</w:t>
      </w:r>
      <w:r w:rsidR="00956C73">
        <w:rPr>
          <w:iCs/>
        </w:rPr>
        <w:t xml:space="preserve">; </w:t>
      </w:r>
      <w:r w:rsidR="00FC1B29" w:rsidRPr="00FC1B29">
        <w:rPr>
          <w:iCs/>
        </w:rPr>
        <w:t>2) внедрение интеллектуальных субсидий и стимулов в лесном секторе с целью эффективного использования лесных ресурсов</w:t>
      </w:r>
      <w:r w:rsidR="00956C73">
        <w:rPr>
          <w:iCs/>
        </w:rPr>
        <w:t xml:space="preserve">; </w:t>
      </w:r>
      <w:r w:rsidR="00FC1B29" w:rsidRPr="00FC1B29">
        <w:rPr>
          <w:iCs/>
        </w:rPr>
        <w:t>3) управление потоками информации, поддерживающих международные рынки</w:t>
      </w:r>
      <w:r w:rsidR="00956C73">
        <w:rPr>
          <w:iCs/>
        </w:rPr>
        <w:t xml:space="preserve">; </w:t>
      </w:r>
      <w:r w:rsidR="00FC1B29" w:rsidRPr="00FC1B29">
        <w:rPr>
          <w:iCs/>
        </w:rPr>
        <w:t>4) развитие юридической инфраструктуры и благоприятных торговых протоколов, другую помощь частному сектору экономики [1].</w:t>
      </w:r>
    </w:p>
    <w:p w:rsidR="00FC1B29" w:rsidRPr="00FC1B29" w:rsidRDefault="00FC1B29" w:rsidP="008277C8">
      <w:r w:rsidRPr="00FC1B29">
        <w:t xml:space="preserve">Совместная позиция ФАО и ЕЭК ООН в отношении роли лесов и лесного сектора для развития </w:t>
      </w:r>
      <w:r w:rsidR="008612A8">
        <w:t>«</w:t>
      </w:r>
      <w:r w:rsidRPr="00FC1B29">
        <w:t>зелёной</w:t>
      </w:r>
      <w:r w:rsidR="008612A8">
        <w:t>»</w:t>
      </w:r>
      <w:r w:rsidRPr="00FC1B29">
        <w:t xml:space="preserve"> экономики</w:t>
      </w:r>
      <w:r w:rsidR="00956C73">
        <w:t xml:space="preserve"> </w:t>
      </w:r>
      <w:r w:rsidRPr="00FC1B29">
        <w:t xml:space="preserve">заключается в том, что всем Европейским странам рекомендовано перейти на принципы </w:t>
      </w:r>
      <w:r w:rsidR="008612A8">
        <w:t>«</w:t>
      </w:r>
      <w:r w:rsidRPr="00FC1B29">
        <w:t>зеленой</w:t>
      </w:r>
      <w:r w:rsidR="008612A8">
        <w:t>»</w:t>
      </w:r>
      <w:r w:rsidRPr="00FC1B29">
        <w:t xml:space="preserve"> экономики в лесном секторе к 2020 году. Министры лесного хозяйства Европы и другие делегаты высокого уровня из 40 стран собрались в 2013 г</w:t>
      </w:r>
      <w:r w:rsidR="008612A8">
        <w:t>.</w:t>
      </w:r>
      <w:r w:rsidRPr="00FC1B29">
        <w:t xml:space="preserve"> в финском г</w:t>
      </w:r>
      <w:r w:rsidR="008612A8">
        <w:t>.</w:t>
      </w:r>
      <w:r w:rsidRPr="00FC1B29">
        <w:t xml:space="preserve"> Рованиеми, чтобы обсудить, как леса могут помочь европейским странам </w:t>
      </w:r>
      <w:r w:rsidR="00C61926">
        <w:t>дост</w:t>
      </w:r>
      <w:r w:rsidRPr="00FC1B29">
        <w:t xml:space="preserve">ичь цели обращения современных </w:t>
      </w:r>
      <w:r w:rsidR="00C61926">
        <w:t>«</w:t>
      </w:r>
      <w:r w:rsidRPr="00FC1B29">
        <w:t>коричневых</w:t>
      </w:r>
      <w:r w:rsidR="008612A8">
        <w:t>»</w:t>
      </w:r>
      <w:r w:rsidRPr="00FC1B29">
        <w:t xml:space="preserve"> экономик европейских стран в </w:t>
      </w:r>
      <w:r w:rsidR="00C61926">
        <w:t>«</w:t>
      </w:r>
      <w:r w:rsidRPr="00FC1B29">
        <w:t>зелёные</w:t>
      </w:r>
      <w:r w:rsidR="008612A8">
        <w:t>»</w:t>
      </w:r>
      <w:r w:rsidRPr="00FC1B29">
        <w:t xml:space="preserve"> экономики. При рассмотрении</w:t>
      </w:r>
      <w:r w:rsidR="00956C73">
        <w:t xml:space="preserve"> </w:t>
      </w:r>
      <w:r w:rsidR="00662B00">
        <w:t>п</w:t>
      </w:r>
      <w:r w:rsidRPr="00FC1B29">
        <w:t>лан</w:t>
      </w:r>
      <w:r w:rsidR="005E7B71">
        <w:t>а</w:t>
      </w:r>
      <w:r w:rsidRPr="00FC1B29">
        <w:t xml:space="preserve"> действий для лесного сектора, направленного на защиту лесов в Европе и ускорение перехода к </w:t>
      </w:r>
      <w:r w:rsidR="008612A8">
        <w:t>«</w:t>
      </w:r>
      <w:r w:rsidRPr="00FC1B29">
        <w:t>зеленой</w:t>
      </w:r>
      <w:r w:rsidR="008612A8">
        <w:t>»</w:t>
      </w:r>
      <w:r w:rsidRPr="00FC1B29">
        <w:t xml:space="preserve"> экономике в регионе </w:t>
      </w:r>
      <w:r w:rsidR="005E7B71">
        <w:t xml:space="preserve">ЕЭК ООН </w:t>
      </w:r>
      <w:r w:rsidRPr="00FC1B29">
        <w:t xml:space="preserve">(план Рованиеми), были сформулированы простые и понятные положения о роли лесов в переходе на </w:t>
      </w:r>
      <w:r w:rsidR="008612A8">
        <w:t>«</w:t>
      </w:r>
      <w:r w:rsidRPr="00FC1B29">
        <w:t>зелёную</w:t>
      </w:r>
      <w:r w:rsidR="008612A8">
        <w:t>»</w:t>
      </w:r>
      <w:r w:rsidRPr="00FC1B29">
        <w:t xml:space="preserve"> экономику. Прежде всего, когда леса должны управляться устойчивым способом, создавая постоянно возобновляемый запас сырья и биоэнергетики</w:t>
      </w:r>
      <w:r w:rsidR="008466A1">
        <w:t xml:space="preserve"> </w:t>
      </w:r>
      <w:r w:rsidR="008466A1" w:rsidRPr="008466A1">
        <w:t>[</w:t>
      </w:r>
      <w:r w:rsidR="007C772B">
        <w:t>2</w:t>
      </w:r>
      <w:r w:rsidR="008466A1" w:rsidRPr="008466A1">
        <w:t>]</w:t>
      </w:r>
      <w:r w:rsidRPr="00FC1B29">
        <w:t xml:space="preserve">. </w:t>
      </w:r>
    </w:p>
    <w:p w:rsidR="00FC1B29" w:rsidRPr="00FC1B29" w:rsidRDefault="00FC1B29" w:rsidP="008277C8">
      <w:r w:rsidRPr="00FC1B29">
        <w:t>Европа богата лесами благодаря неустанным усилиям государств и предпринимателей в последние 200 лет. Они остановили вырубку лес</w:t>
      </w:r>
      <w:r w:rsidR="00FD4D42">
        <w:t>ов</w:t>
      </w:r>
      <w:r w:rsidRPr="00FC1B29">
        <w:t xml:space="preserve"> Европы и способствовали восстановлению европейских лесных ресурсов и их устойчивому управлению. Европейская философия бережного отношения к лесам начинает распространятся по всему миру. Заготовка древесины и других лесных продуктов, не превышающая по объёму способность </w:t>
      </w:r>
      <w:r w:rsidRPr="00FC1B29">
        <w:lastRenderedPageBreak/>
        <w:t xml:space="preserve">лесов к воспроизведению и предоставлению многочисленных экосистемных услуг, стали нормой. Поэтому устойчиво управляемые леса дают нам огромный потенциал в содействии государствам по переходу к </w:t>
      </w:r>
      <w:r w:rsidR="00C11441">
        <w:t>«</w:t>
      </w:r>
      <w:r w:rsidRPr="00FC1B29">
        <w:t>зелёной</w:t>
      </w:r>
      <w:r w:rsidR="00C11441">
        <w:t>»</w:t>
      </w:r>
      <w:r w:rsidRPr="00FC1B29">
        <w:t xml:space="preserve"> эконом</w:t>
      </w:r>
      <w:r w:rsidR="00C11441">
        <w:t xml:space="preserve">ике. И именно поэтому принятие </w:t>
      </w:r>
      <w:r w:rsidRPr="00FC1B29">
        <w:t>План</w:t>
      </w:r>
      <w:r w:rsidR="00C11441">
        <w:t>а</w:t>
      </w:r>
      <w:r w:rsidRPr="00FC1B29">
        <w:t xml:space="preserve"> действий в лесном секторе ЕЭК ООН и ФАО (далее – «План действий Рованиеми») дало сильный практический инструмент, который может помочь государствам и организациям, работающим в лесном секторе, инвестировать свои ресурсы, определить приоритеты и принять меры по переходу на зелёную экономику. План действий Рованиеми предполагает, что к 2020 г</w:t>
      </w:r>
      <w:r w:rsidR="00645608">
        <w:t>.</w:t>
      </w:r>
      <w:r w:rsidRPr="00FC1B29">
        <w:t>, европейские страны будут применять следующие ключевые принципы [</w:t>
      </w:r>
      <w:r w:rsidR="00645608">
        <w:t>2</w:t>
      </w:r>
      <w:r w:rsidRPr="00FC1B29">
        <w:t>]:</w:t>
      </w:r>
    </w:p>
    <w:p w:rsidR="00FC1B29" w:rsidRPr="00FC1B29" w:rsidRDefault="00FC1B29" w:rsidP="00645608">
      <w:pPr>
        <w:pStyle w:val="a7"/>
        <w:numPr>
          <w:ilvl w:val="0"/>
          <w:numId w:val="5"/>
        </w:numPr>
        <w:tabs>
          <w:tab w:val="left" w:pos="993"/>
        </w:tabs>
        <w:ind w:left="0" w:firstLine="709"/>
      </w:pPr>
      <w:r w:rsidRPr="00FC1B29">
        <w:t>в лесном секторе ресурсы должны использоваться разумно, а древесные отходы должны направляться на утилизацию</w:t>
      </w:r>
      <w:r w:rsidR="00645608">
        <w:t xml:space="preserve"> (с</w:t>
      </w:r>
      <w:r w:rsidRPr="00FC1B29">
        <w:t>ледует потреблять продукты только из тех лесов, которые управляются устойчивым способом</w:t>
      </w:r>
      <w:r w:rsidR="00645608">
        <w:t>)</w:t>
      </w:r>
      <w:r w:rsidRPr="00FC1B29">
        <w:t>;</w:t>
      </w:r>
    </w:p>
    <w:p w:rsidR="00FC1B29" w:rsidRPr="00FC1B29" w:rsidRDefault="00FC1B29" w:rsidP="00645608">
      <w:pPr>
        <w:pStyle w:val="a7"/>
        <w:numPr>
          <w:ilvl w:val="0"/>
          <w:numId w:val="5"/>
        </w:numPr>
        <w:tabs>
          <w:tab w:val="left" w:pos="993"/>
        </w:tabs>
        <w:ind w:left="0" w:firstLine="709"/>
      </w:pPr>
      <w:r w:rsidRPr="00FC1B29">
        <w:t>лесной сектор должен минимизировать последствия изменения климата благодаря удержанию углерода в лесах и лесной продукции и замене не возобновляемых ресурсов на возобновляемые древесные ресурсы и биотопливо</w:t>
      </w:r>
      <w:r w:rsidR="00645608">
        <w:t xml:space="preserve"> (н</w:t>
      </w:r>
      <w:r w:rsidRPr="00FC1B29">
        <w:t>апример, в строительной отрасли древесина и бамбук могут заменить энергозатратный бетон</w:t>
      </w:r>
      <w:r w:rsidR="00645608">
        <w:t>)</w:t>
      </w:r>
      <w:r w:rsidRPr="00FC1B29">
        <w:t>;</w:t>
      </w:r>
    </w:p>
    <w:p w:rsidR="00FC1B29" w:rsidRPr="00FC1B29" w:rsidRDefault="00FC1B29" w:rsidP="00645608">
      <w:pPr>
        <w:pStyle w:val="a7"/>
        <w:numPr>
          <w:ilvl w:val="0"/>
          <w:numId w:val="5"/>
        </w:numPr>
        <w:tabs>
          <w:tab w:val="left" w:pos="993"/>
        </w:tabs>
        <w:ind w:left="0" w:firstLine="709"/>
      </w:pPr>
      <w:r w:rsidRPr="00FC1B29">
        <w:t>в лесном секторе необходимо значительно улучшить безопасность и здоровье работников и обеспечить гендерное равенство.</w:t>
      </w:r>
    </w:p>
    <w:p w:rsidR="00FC1B29" w:rsidRPr="00FC1B29" w:rsidRDefault="00FC1B29" w:rsidP="008277C8">
      <w:r w:rsidRPr="00FC1B29">
        <w:t xml:space="preserve">На международном семинаре по оценке стоимости лесного сектора в </w:t>
      </w:r>
      <w:r w:rsidR="00645608">
        <w:t>«</w:t>
      </w:r>
      <w:r w:rsidRPr="00FC1B29">
        <w:t>зеленой</w:t>
      </w:r>
      <w:r w:rsidR="00645608">
        <w:t>»</w:t>
      </w:r>
      <w:r w:rsidRPr="00FC1B29">
        <w:t xml:space="preserve"> экономике, проведённом ЕЭК ООН и ФАО в Женеве 21 октября 2016 г</w:t>
      </w:r>
      <w:r w:rsidR="00645608">
        <w:t>.</w:t>
      </w:r>
      <w:r w:rsidRPr="00FC1B29">
        <w:t>, были рассмотрены ключевые вопросы роли лесов и лесного секторе в развитии «зелёной</w:t>
      </w:r>
      <w:r w:rsidR="00645608" w:rsidRPr="00FC1B29">
        <w:t>»</w:t>
      </w:r>
      <w:r w:rsidRPr="00FC1B29">
        <w:t xml:space="preserve"> экономики. Семинар</w:t>
      </w:r>
      <w:r w:rsidR="00956C73">
        <w:t xml:space="preserve"> </w:t>
      </w:r>
      <w:r w:rsidRPr="00FC1B29">
        <w:t>был организован Секцией лесного хозяйства и лесоматериалов ЕЭК ООН / ФАО в рамках реализации «Плана действий Рованиеми для лесного сектора в зеленой экономике», в частности, преследовалась цель разработать вклад лесного сектора в более широкие индикаторы зеленой экономики [</w:t>
      </w:r>
      <w:r w:rsidR="00645608">
        <w:t>3</w:t>
      </w:r>
      <w:r w:rsidRPr="00FC1B29">
        <w:t>].</w:t>
      </w:r>
    </w:p>
    <w:p w:rsidR="00FC1B29" w:rsidRPr="00FC1B29" w:rsidRDefault="00FC1B29" w:rsidP="008277C8">
      <w:r w:rsidRPr="00FC1B29">
        <w:t>Секция лесного хозяйства и лесоматериалов ЕЭК ООН / ФАО начала свою работу в этой области в декабре 2013 г</w:t>
      </w:r>
      <w:r w:rsidR="00645608">
        <w:t>.</w:t>
      </w:r>
      <w:r w:rsidRPr="00FC1B29">
        <w:t xml:space="preserve"> на семинаре «Измерение и распространение вклада лесного сектора в «зеленую</w:t>
      </w:r>
      <w:r w:rsidR="00645608" w:rsidRPr="00FC1B29">
        <w:t>»</w:t>
      </w:r>
      <w:r w:rsidRPr="00FC1B29">
        <w:t xml:space="preserve"> экономику, организованно</w:t>
      </w:r>
      <w:r w:rsidR="00662B00">
        <w:t>го</w:t>
      </w:r>
      <w:r w:rsidRPr="00FC1B29">
        <w:t xml:space="preserve"> финской компанией Metsä Group</w:t>
      </w:r>
      <w:r w:rsidR="00956C73">
        <w:t xml:space="preserve"> </w:t>
      </w:r>
      <w:r w:rsidRPr="00FC1B29">
        <w:t>во время</w:t>
      </w:r>
      <w:r w:rsidR="00956C73">
        <w:t xml:space="preserve"> </w:t>
      </w:r>
      <w:r w:rsidRPr="00FC1B29">
        <w:t xml:space="preserve">совместной сессии Комитета ЕЭК по лесам и лесной промышленности и Европейской лесной комиссии ФАО в Рованиеми. На этом семинаре было представлено первоначальное предложение о том, как измерить прогресс лесного сектора и его вклад в «зеленую» экономику. Дискуссия по этому вопросу продолжилась в ходе </w:t>
      </w:r>
      <w:r w:rsidR="00645608">
        <w:t>70-й</w:t>
      </w:r>
      <w:r w:rsidRPr="00FC1B29">
        <w:t xml:space="preserve"> сессии Комитета ЕЭК по лесам и лесной промышленности, состоявшейся в Казани в ноябре 2014 года. В ходе этих консультаций было отмечено, что в ходе дальнейшего обсуждения также должны привлекаться заинтересованные стороны из других секторов экономики. Поэтому в 2016 г</w:t>
      </w:r>
      <w:r w:rsidR="00645608">
        <w:t>.</w:t>
      </w:r>
      <w:r w:rsidRPr="00FC1B29">
        <w:t xml:space="preserve"> Секция лесного хозяйства и лесоматериалов ЕЭК/ФАО предложила внести свой вклад и организовала рабочее совещание в партнерстве со следующими ключевыми организациями, которые активно участвуют в разработке международных измерительных систем для «зеленой» экономики: «Зеленая платформа знаний о росте» (GGKP), Организация </w:t>
      </w:r>
      <w:r w:rsidR="00645608" w:rsidRPr="00FC1B29">
        <w:t xml:space="preserve">экономического </w:t>
      </w:r>
      <w:r w:rsidRPr="00FC1B29">
        <w:t xml:space="preserve">сотрудничества и развития (ОЭСР), «Инициатива по экономике экосистем и биоразнообразия» (EEEB) в рамках ЮНЕП и Партнерства Всемирного банка в области учета богатства и оценки экосистемных услуг. Также были проведены консультации с </w:t>
      </w:r>
      <w:r w:rsidR="00645608" w:rsidRPr="00FC1B29">
        <w:t>стат</w:t>
      </w:r>
      <w:r w:rsidRPr="00FC1B29">
        <w:t>отделами ЕЭК ООН и ФАО, и им было предложено представить их материалы для обсуждения [</w:t>
      </w:r>
      <w:r w:rsidR="00645608">
        <w:t>3</w:t>
      </w:r>
      <w:r w:rsidRPr="00FC1B29">
        <w:t>].</w:t>
      </w:r>
    </w:p>
    <w:p w:rsidR="00FC1B29" w:rsidRPr="00FC1B29" w:rsidRDefault="00645608" w:rsidP="008277C8">
      <w:r>
        <w:t>С 1</w:t>
      </w:r>
      <w:r w:rsidR="00FC1B29" w:rsidRPr="00FC1B29">
        <w:t xml:space="preserve"> января 2016</w:t>
      </w:r>
      <w:r w:rsidR="00956C73">
        <w:t xml:space="preserve"> </w:t>
      </w:r>
      <w:r w:rsidR="00FC1B29" w:rsidRPr="00FC1B29">
        <w:t>г</w:t>
      </w:r>
      <w:r>
        <w:t>.</w:t>
      </w:r>
      <w:r w:rsidR="00956C73">
        <w:t xml:space="preserve"> </w:t>
      </w:r>
      <w:r w:rsidR="00FC1B29" w:rsidRPr="00FC1B29">
        <w:t>официально вступили в силу 17 целей в области</w:t>
      </w:r>
      <w:r w:rsidR="00956C73">
        <w:t xml:space="preserve"> </w:t>
      </w:r>
      <w:r w:rsidR="00FC1B29" w:rsidRPr="00FC1B29">
        <w:t>устойчивого развития</w:t>
      </w:r>
      <w:r w:rsidR="00956C73">
        <w:t xml:space="preserve"> </w:t>
      </w:r>
      <w:r w:rsidR="00FC1B29" w:rsidRPr="00FC1B29">
        <w:t>(ЦУР), изложенные в</w:t>
      </w:r>
      <w:r w:rsidR="00956C73">
        <w:t xml:space="preserve"> </w:t>
      </w:r>
      <w:r w:rsidR="00FC1B29" w:rsidRPr="00FC1B29">
        <w:t>Повестке дня</w:t>
      </w:r>
      <w:r w:rsidR="00956C73">
        <w:t xml:space="preserve"> </w:t>
      </w:r>
      <w:r w:rsidR="00FC1B29" w:rsidRPr="00FC1B29">
        <w:t>в области устойчивого развития</w:t>
      </w:r>
      <w:r w:rsidR="00956C73">
        <w:t xml:space="preserve"> </w:t>
      </w:r>
      <w:r w:rsidR="00FC1B29" w:rsidRPr="00FC1B29">
        <w:t>на период</w:t>
      </w:r>
      <w:r w:rsidR="00956C73">
        <w:t xml:space="preserve"> </w:t>
      </w:r>
      <w:r w:rsidR="00FC1B29" w:rsidRPr="00FC1B29">
        <w:t>до 2030 г</w:t>
      </w:r>
      <w:r>
        <w:t>.</w:t>
      </w:r>
      <w:r w:rsidR="00FC1B29" w:rsidRPr="00FC1B29">
        <w:t>, которая была принята мировыми лидерами в сентябре 2015</w:t>
      </w:r>
      <w:r w:rsidR="00956C73">
        <w:t xml:space="preserve"> </w:t>
      </w:r>
      <w:r w:rsidR="00FC1B29" w:rsidRPr="00FC1B29">
        <w:t>г</w:t>
      </w:r>
      <w:r>
        <w:t>.</w:t>
      </w:r>
      <w:r w:rsidR="00956C73">
        <w:t xml:space="preserve"> </w:t>
      </w:r>
      <w:r w:rsidR="00FC1B29" w:rsidRPr="00FC1B29">
        <w:t>на историческом саммите ООН [</w:t>
      </w:r>
      <w:r>
        <w:t>4</w:t>
      </w:r>
      <w:r w:rsidR="00FC1B29" w:rsidRPr="00FC1B29">
        <w:t>].</w:t>
      </w:r>
      <w:r>
        <w:t xml:space="preserve"> </w:t>
      </w:r>
      <w:r w:rsidR="00FC1B29" w:rsidRPr="00FC1B29">
        <w:t xml:space="preserve">Повестка дня в области устойчивого развития предоставила системе ООН мандат на содействие по её осуществлению. </w:t>
      </w:r>
      <w:r>
        <w:t>«</w:t>
      </w:r>
      <w:r w:rsidR="00FC1B29" w:rsidRPr="00FC1B29">
        <w:t>Зеленая</w:t>
      </w:r>
      <w:r>
        <w:t>»</w:t>
      </w:r>
      <w:r w:rsidR="00FC1B29" w:rsidRPr="00FC1B29">
        <w:t xml:space="preserve"> экономика и связанные с ней направления развития, такие как </w:t>
      </w:r>
      <w:r>
        <w:t>«</w:t>
      </w:r>
      <w:r w:rsidR="00FC1B29" w:rsidRPr="00FC1B29">
        <w:t>зеленый</w:t>
      </w:r>
      <w:r>
        <w:t>»</w:t>
      </w:r>
      <w:r w:rsidR="00FC1B29" w:rsidRPr="00FC1B29">
        <w:t xml:space="preserve"> рост, биоэкономика</w:t>
      </w:r>
      <w:r w:rsidR="00662B00">
        <w:t>, циклическая</w:t>
      </w:r>
      <w:r w:rsidR="00FC1B29" w:rsidRPr="00FC1B29">
        <w:t xml:space="preserve"> или круговая экономика, тесно связаны с устойчивым развитием. Переход к «зеленой» экономике </w:t>
      </w:r>
      <w:r>
        <w:t>–</w:t>
      </w:r>
      <w:r w:rsidR="00FC1B29" w:rsidRPr="00FC1B29">
        <w:t xml:space="preserve"> это амбициозная и всеобъемлющая цель, которая затронет все регионы, все сектора экономики и все части общества, причем каждый по-своему. </w:t>
      </w:r>
    </w:p>
    <w:p w:rsidR="00FC1B29" w:rsidRPr="00FC1B29" w:rsidRDefault="00FC1B29" w:rsidP="008277C8">
      <w:r w:rsidRPr="00FC1B29">
        <w:lastRenderedPageBreak/>
        <w:t xml:space="preserve">Сегодня нет сомнений в том, что леса имеют важное значение для перехода к «зеленой» экономике и реализации «Повестки дня в области устойчивого развития до 2030 года». Лесной сектор, основанный на возобновляемом сырье </w:t>
      </w:r>
      <w:r w:rsidR="00645608">
        <w:t>–</w:t>
      </w:r>
      <w:r w:rsidRPr="00FC1B29">
        <w:t xml:space="preserve"> древесине </w:t>
      </w:r>
      <w:r w:rsidR="00645608">
        <w:t>–</w:t>
      </w:r>
      <w:r w:rsidRPr="00FC1B29">
        <w:t xml:space="preserve"> которая </w:t>
      </w:r>
      <w:r w:rsidR="00662B00">
        <w:t>к тому же перерабатывается так, чтобы образовывать минимальные</w:t>
      </w:r>
      <w:r w:rsidRPr="00FC1B29">
        <w:t xml:space="preserve"> отходы</w:t>
      </w:r>
      <w:r w:rsidR="00662B00">
        <w:t>, а готовая</w:t>
      </w:r>
      <w:r w:rsidRPr="00FC1B29">
        <w:t xml:space="preserve"> продукция </w:t>
      </w:r>
      <w:r w:rsidR="00662B00" w:rsidRPr="00FC1B29">
        <w:t xml:space="preserve">после использования </w:t>
      </w:r>
      <w:r w:rsidR="00662B00">
        <w:t xml:space="preserve">также </w:t>
      </w:r>
      <w:r w:rsidRPr="00FC1B29">
        <w:t xml:space="preserve">перерабатывается, играет важную роль в </w:t>
      </w:r>
      <w:r w:rsidR="00645608">
        <w:t>«</w:t>
      </w:r>
      <w:r w:rsidRPr="00FC1B29">
        <w:t>зеленой</w:t>
      </w:r>
      <w:r w:rsidR="00645608">
        <w:t>»</w:t>
      </w:r>
      <w:r w:rsidRPr="00FC1B29">
        <w:t xml:space="preserve"> экономике [</w:t>
      </w:r>
      <w:r w:rsidR="00645608">
        <w:t>3</w:t>
      </w:r>
      <w:r w:rsidRPr="00FC1B29">
        <w:t>].</w:t>
      </w:r>
    </w:p>
    <w:p w:rsidR="00FC1B29" w:rsidRPr="00FC1B29" w:rsidRDefault="00662B00" w:rsidP="008277C8">
      <w:r>
        <w:t>С</w:t>
      </w:r>
      <w:r w:rsidR="00FC1B29" w:rsidRPr="00FC1B29">
        <w:t xml:space="preserve">огласно </w:t>
      </w:r>
      <w:r w:rsidR="00645608" w:rsidRPr="00FC1B29">
        <w:t xml:space="preserve">Цели </w:t>
      </w:r>
      <w:r w:rsidR="00FC1B29" w:rsidRPr="00FC1B29">
        <w:t>устойчивого развития (</w:t>
      </w:r>
      <w:r w:rsidR="00645608">
        <w:t>ЦУР</w:t>
      </w:r>
      <w:r w:rsidR="00FC1B29" w:rsidRPr="00FC1B29">
        <w:t>), связанной с сохранением, восстановлением и устойчивым использованием лесов, Сендайская рамочная программа по снижению риска бедствий на 2015</w:t>
      </w:r>
      <w:r w:rsidR="00645608">
        <w:t>-</w:t>
      </w:r>
      <w:r w:rsidR="00FC1B29" w:rsidRPr="00FC1B29">
        <w:t>2030 годы [</w:t>
      </w:r>
      <w:r w:rsidR="00645608">
        <w:t>5</w:t>
      </w:r>
      <w:r w:rsidR="00FC1B29" w:rsidRPr="00FC1B29">
        <w:t>] и Парижское соглашение [6] вновь подтвердили роль экосистемных услуг</w:t>
      </w:r>
      <w:r w:rsidR="00A13CBF">
        <w:t>/сервисов</w:t>
      </w:r>
      <w:r w:rsidR="00FC1B29" w:rsidRPr="00FC1B29">
        <w:t xml:space="preserve"> в достижении </w:t>
      </w:r>
      <w:r>
        <w:t>ЦУР</w:t>
      </w:r>
      <w:r w:rsidR="00FC1B29" w:rsidRPr="00FC1B29">
        <w:t>. По этой причине ценность экосистемных услуг</w:t>
      </w:r>
      <w:r>
        <w:t>/сервисов</w:t>
      </w:r>
      <w:r w:rsidR="00FC1B29" w:rsidRPr="00FC1B29">
        <w:t xml:space="preserve">, </w:t>
      </w:r>
      <w:r>
        <w:t xml:space="preserve">предоставляемых лесами и </w:t>
      </w:r>
      <w:r w:rsidR="00FC1B29" w:rsidRPr="00FC1B29">
        <w:t xml:space="preserve">учитывающих множество функций в таких областях, как биоразнообразие, уменьшение опасности бедствий, смягчение последствий изменения климата, </w:t>
      </w:r>
      <w:r>
        <w:t>вкупе с</w:t>
      </w:r>
      <w:r w:rsidR="00FC1B29" w:rsidRPr="00FC1B29">
        <w:t xml:space="preserve"> экономической и социальной значимост</w:t>
      </w:r>
      <w:r>
        <w:t>ью</w:t>
      </w:r>
      <w:r w:rsidR="00FC1B29" w:rsidRPr="00FC1B29">
        <w:t xml:space="preserve"> различных лесных товаров, заслуживают соответствующего признания</w:t>
      </w:r>
      <w:r>
        <w:t xml:space="preserve"> в </w:t>
      </w:r>
      <w:r w:rsidR="00A13CBF">
        <w:t>экономике лесного хозяйства и лесного комплекса в целом</w:t>
      </w:r>
      <w:r w:rsidR="00FC1B29" w:rsidRPr="00FC1B29">
        <w:t>.</w:t>
      </w:r>
    </w:p>
    <w:p w:rsidR="00FC1B29" w:rsidRPr="00FC1B29" w:rsidRDefault="00A13CBF" w:rsidP="008277C8">
      <w:r>
        <w:t>Р</w:t>
      </w:r>
      <w:r w:rsidRPr="00FC1B29">
        <w:t>яд подходов для оценки прогресса развития в направлении «зеленой» экономики и стоимости природного капитала</w:t>
      </w:r>
      <w:r>
        <w:t xml:space="preserve"> лесов</w:t>
      </w:r>
      <w:r w:rsidRPr="00FC1B29">
        <w:t xml:space="preserve">, </w:t>
      </w:r>
      <w:r>
        <w:t>а</w:t>
      </w:r>
      <w:r w:rsidRPr="00FC1B29">
        <w:t xml:space="preserve"> экосистемных услуг </w:t>
      </w:r>
      <w:r>
        <w:t xml:space="preserve">лесов был разработан </w:t>
      </w:r>
      <w:r w:rsidRPr="00FC1B29">
        <w:t xml:space="preserve">в этом контексте </w:t>
      </w:r>
      <w:r>
        <w:t>н</w:t>
      </w:r>
      <w:r w:rsidR="00FC1B29" w:rsidRPr="00FC1B29">
        <w:t>а международном уровне. Некоторые из них применимы к лесам и могут быть полезны в качестве основы для измерения прогресса в осуществлении «Плана действий Рованиеми» для лесного сектора в зеленой экономике [</w:t>
      </w:r>
      <w:r w:rsidR="0082445F">
        <w:t>2</w:t>
      </w:r>
      <w:r w:rsidR="00FC1B29" w:rsidRPr="00FC1B29">
        <w:t xml:space="preserve">]. </w:t>
      </w:r>
    </w:p>
    <w:p w:rsidR="00FC1B29" w:rsidRPr="00FC1B29" w:rsidRDefault="00FC1B29" w:rsidP="008277C8">
      <w:r w:rsidRPr="00FC1B29">
        <w:t xml:space="preserve">Однако, несмотря на очевидную роль лесов в процессе перехода к «зеленой» экономике, </w:t>
      </w:r>
      <w:r w:rsidR="00A13CBF" w:rsidRPr="00FC1B29">
        <w:t xml:space="preserve">остается серьезной проблемой </w:t>
      </w:r>
      <w:r w:rsidR="00A13CBF">
        <w:t>установление ценности лесов</w:t>
      </w:r>
      <w:r w:rsidR="00885481">
        <w:t>,</w:t>
      </w:r>
      <w:r w:rsidRPr="00FC1B29">
        <w:t xml:space="preserve"> как природно</w:t>
      </w:r>
      <w:r w:rsidR="00A13CBF">
        <w:t>го</w:t>
      </w:r>
      <w:r w:rsidRPr="00FC1B29">
        <w:t xml:space="preserve"> капитал</w:t>
      </w:r>
      <w:r w:rsidR="00A13CBF">
        <w:t>а</w:t>
      </w:r>
      <w:r w:rsidRPr="00FC1B29">
        <w:t>,</w:t>
      </w:r>
      <w:r w:rsidR="00956C73">
        <w:t xml:space="preserve"> </w:t>
      </w:r>
      <w:r w:rsidR="00A13CBF">
        <w:t xml:space="preserve">и </w:t>
      </w:r>
      <w:r w:rsidR="00885481">
        <w:t xml:space="preserve">включение </w:t>
      </w:r>
      <w:r w:rsidRPr="00FC1B29">
        <w:t>экосистемны</w:t>
      </w:r>
      <w:r w:rsidR="00885481">
        <w:t>х и социальных</w:t>
      </w:r>
      <w:r w:rsidRPr="00FC1B29">
        <w:t xml:space="preserve"> сервис</w:t>
      </w:r>
      <w:r w:rsidR="00885481">
        <w:t>ов, предоставляемых людям лесами,</w:t>
      </w:r>
      <w:r w:rsidR="00956C73">
        <w:t xml:space="preserve"> </w:t>
      </w:r>
      <w:r w:rsidR="00885481">
        <w:t xml:space="preserve">в систему экономических отношений, связанных с лесопользованием </w:t>
      </w:r>
      <w:r w:rsidRPr="00FC1B29">
        <w:t>[</w:t>
      </w:r>
      <w:r w:rsidR="0082445F">
        <w:t>3</w:t>
      </w:r>
      <w:r w:rsidRPr="00FC1B29">
        <w:t>].</w:t>
      </w:r>
      <w:r w:rsidR="00B65A8C">
        <w:t xml:space="preserve"> </w:t>
      </w:r>
      <w:r w:rsidRPr="00FC1B29">
        <w:t xml:space="preserve">Поэтому </w:t>
      </w:r>
      <w:r w:rsidR="00885481">
        <w:t xml:space="preserve">столь </w:t>
      </w:r>
      <w:r w:rsidRPr="00FC1B29">
        <w:t>важно провести анализ взаимодополняемости существующих подходов, разработанных на международном уровне в контексте «зеленой» экономики и «Повестки дня в области устойчивого развития до 2030 года», а также существующих подходов к измерению стоимости природного капитала</w:t>
      </w:r>
      <w:r w:rsidR="00885481">
        <w:t>,</w:t>
      </w:r>
      <w:r w:rsidRPr="00FC1B29">
        <w:t xml:space="preserve"> с системами оценки </w:t>
      </w:r>
      <w:r w:rsidR="00885481">
        <w:t xml:space="preserve">финансовых потоков </w:t>
      </w:r>
      <w:r w:rsidRPr="00FC1B29">
        <w:t>лесного сектора. Такой анализ может способствовать увеличению синергизма между различными методологиями оценки</w:t>
      </w:r>
      <w:r w:rsidR="00885481">
        <w:t xml:space="preserve"> лесов</w:t>
      </w:r>
      <w:r w:rsidRPr="00FC1B29">
        <w:t>. Следовательно, он предоставит более эффективную информацию для лиц, определяющих политику, о явном вкладе лесного сектора в «зеленую» экономику и о потребностях в политических мерах, необходимых для повышения этого вклада [</w:t>
      </w:r>
      <w:r w:rsidR="0082445F">
        <w:t>3</w:t>
      </w:r>
      <w:r w:rsidRPr="00FC1B29">
        <w:t>].</w:t>
      </w:r>
    </w:p>
    <w:p w:rsidR="00B65A8C" w:rsidRPr="00B65A8C" w:rsidRDefault="00FC1B29" w:rsidP="008277C8">
      <w:r w:rsidRPr="00FC1B29">
        <w:t>ЮНЕП определяет «зеленую» экономику как «улучшающую благосостояние людей и социальную справедливость, при этом значительно снижая экологические риски и экологические дефициты» [</w:t>
      </w:r>
      <w:r w:rsidR="0082445F">
        <w:t>1</w:t>
      </w:r>
      <w:r w:rsidRPr="00FC1B29">
        <w:t xml:space="preserve">]. </w:t>
      </w:r>
      <w:r w:rsidR="00B65A8C" w:rsidRPr="00B65A8C">
        <w:t xml:space="preserve">В своем самом простом </w:t>
      </w:r>
      <w:r w:rsidR="00B65A8C">
        <w:t>толковании</w:t>
      </w:r>
      <w:r w:rsidR="00B65A8C" w:rsidRPr="00B65A8C">
        <w:t xml:space="preserve"> «зеленая</w:t>
      </w:r>
      <w:r w:rsidR="0082445F" w:rsidRPr="00B65A8C">
        <w:t>»</w:t>
      </w:r>
      <w:r w:rsidR="00B65A8C" w:rsidRPr="00B65A8C">
        <w:t xml:space="preserve"> экономика может рассматриваться как низкоуглеродная, ресурсоэффективная и социально инклюзивная. В отношении понятия социально-инклюзивная – термина чисто англо-саксконского, нужно понимать, что речь идёт о поиске идеального </w:t>
      </w:r>
      <w:r w:rsidR="00B65A8C" w:rsidRPr="00B65A8C">
        <w:rPr>
          <w:iCs/>
        </w:rPr>
        <w:t xml:space="preserve">баланса между людьми, планетой и прибылью, что составляет предмет корпоративной социальной ответственности предпринимательства. В современном мире так называемая </w:t>
      </w:r>
      <w:r w:rsidR="0082445F">
        <w:rPr>
          <w:iCs/>
        </w:rPr>
        <w:t>«</w:t>
      </w:r>
      <w:r w:rsidR="00B65A8C" w:rsidRPr="00B65A8C">
        <w:rPr>
          <w:iCs/>
        </w:rPr>
        <w:t>инклюзивная</w:t>
      </w:r>
      <w:r w:rsidR="0082445F">
        <w:rPr>
          <w:iCs/>
        </w:rPr>
        <w:t>»</w:t>
      </w:r>
      <w:r w:rsidR="00B65A8C" w:rsidRPr="00B65A8C">
        <w:rPr>
          <w:iCs/>
        </w:rPr>
        <w:t xml:space="preserve"> экономика является основной движущей силой социально ориентированного развития, имеющего целью обеспечение равного для людей доступа к экономической независимости и беспрепятственному взаимодействию между социальными группами. В связи с этим примерно с 2000-х годов в западном мире распространяется понятие</w:t>
      </w:r>
      <w:r w:rsidR="00956C73">
        <w:rPr>
          <w:iCs/>
        </w:rPr>
        <w:t xml:space="preserve"> </w:t>
      </w:r>
      <w:r w:rsidR="00B65A8C" w:rsidRPr="00B65A8C">
        <w:rPr>
          <w:iCs/>
        </w:rPr>
        <w:t>«и</w:t>
      </w:r>
      <w:r w:rsidR="00B65A8C" w:rsidRPr="00B65A8C">
        <w:t>нклюзивная бизнес-модель»,</w:t>
      </w:r>
      <w:r w:rsidR="0082445F">
        <w:t xml:space="preserve"> –</w:t>
      </w:r>
      <w:r w:rsidR="00B65A8C" w:rsidRPr="00B65A8C">
        <w:t xml:space="preserve"> т.е. такая схема предпринимательства, которая в основании экономической пирамиды имеет бедное население </w:t>
      </w:r>
      <w:r w:rsidR="0082445F">
        <w:t>–</w:t>
      </w:r>
      <w:r w:rsidR="00956C73">
        <w:t xml:space="preserve"> </w:t>
      </w:r>
      <w:r w:rsidR="00B65A8C" w:rsidRPr="00B65A8C">
        <w:t>потребителей, покупателей, работников, производителей и предпринимателей на всех этапах цепочки создания добавленной стоимости, обеспечивая взаимовыгодное развитие для всех её участников. Термин «инклюзивная бизнес-модель» был формализован Программой развития ООН</w:t>
      </w:r>
      <w:r w:rsidR="00956C73">
        <w:t xml:space="preserve"> </w:t>
      </w:r>
      <w:r w:rsidR="00B65A8C" w:rsidRPr="00B65A8C">
        <w:t>(ПРООН). ПРООН оказывает безвозмездную помощь правительствам в проведении изысканий и исследований</w:t>
      </w:r>
      <w:r w:rsidR="00956C73">
        <w:t xml:space="preserve"> </w:t>
      </w:r>
      <w:r w:rsidR="00B65A8C" w:rsidRPr="00B65A8C">
        <w:t xml:space="preserve">природных ресурсов, в создании учебных заведений, в развитии энергетических ресурсов, предоставляет консультационные и экспертные услуги, обучает </w:t>
      </w:r>
      <w:r w:rsidR="00B65A8C" w:rsidRPr="00B65A8C">
        <w:lastRenderedPageBreak/>
        <w:t>специалистов, поставляет оборудование</w:t>
      </w:r>
      <w:r w:rsidR="00956C73">
        <w:t xml:space="preserve"> </w:t>
      </w:r>
      <w:r w:rsidR="00B65A8C" w:rsidRPr="00B65A8C">
        <w:t>и т.д.</w:t>
      </w:r>
      <w:r w:rsidR="00956C73">
        <w:t xml:space="preserve"> </w:t>
      </w:r>
      <w:r w:rsidR="00B65A8C" w:rsidRPr="00B65A8C">
        <w:t>«Инициатива в области роста инклюзивных рынков» в 2008 г</w:t>
      </w:r>
      <w:r w:rsidR="0082445F">
        <w:t>.</w:t>
      </w:r>
      <w:r w:rsidR="00B65A8C" w:rsidRPr="00B65A8C">
        <w:t xml:space="preserve"> [</w:t>
      </w:r>
      <w:r w:rsidR="0082445F">
        <w:t>7</w:t>
      </w:r>
      <w:r w:rsidR="00B65A8C" w:rsidRPr="00B65A8C">
        <w:t>].</w:t>
      </w:r>
    </w:p>
    <w:p w:rsidR="00B65A8C" w:rsidRPr="00B65A8C" w:rsidRDefault="00B65A8C" w:rsidP="008277C8">
      <w:r w:rsidRPr="00B65A8C">
        <w:t xml:space="preserve">Благотворительность имеет общие черты с социальной ответственностью предпринимательства, и имеет общие черты с </w:t>
      </w:r>
      <w:r w:rsidR="0082445F">
        <w:t>«</w:t>
      </w:r>
      <w:r w:rsidRPr="00B65A8C">
        <w:t>инклюзивной</w:t>
      </w:r>
      <w:r w:rsidR="0082445F">
        <w:t>»</w:t>
      </w:r>
      <w:r w:rsidRPr="00B65A8C">
        <w:t xml:space="preserve"> бизнес-моделью. Тем не менее, понятие о социально инклюзивной экономике в большей степени соотносится с узким определением понятия социальное предпринимательство, если решение проблемы бедности включено в цели деятельности подобной организации/лица [</w:t>
      </w:r>
      <w:r w:rsidR="007E381E">
        <w:t>8</w:t>
      </w:r>
      <w:r w:rsidRPr="00B65A8C">
        <w:t>].</w:t>
      </w:r>
    </w:p>
    <w:p w:rsidR="00B65A8C" w:rsidRPr="008277C8" w:rsidRDefault="0082445F" w:rsidP="008277C8">
      <w:r>
        <w:t>Следуя «Рио</w:t>
      </w:r>
      <w:r w:rsidR="00FC1B29" w:rsidRPr="00FC1B29">
        <w:t xml:space="preserve">+20», </w:t>
      </w:r>
      <w:r w:rsidR="00B65A8C">
        <w:t>и</w:t>
      </w:r>
      <w:r w:rsidR="00FC1B29" w:rsidRPr="00FC1B29">
        <w:t>нициатива «Зеленая экономика» превратилась теперь в «Инклюзивную зеленую экономику», в которой признается равное значение справедливости и социальной сплоченности относительно соблюдения экологических ограничений и критических экологических порогов</w:t>
      </w:r>
      <w:r w:rsidR="00B65A8C">
        <w:t xml:space="preserve"> </w:t>
      </w:r>
      <w:r w:rsidR="00B65A8C" w:rsidRPr="00B65A8C">
        <w:t>[</w:t>
      </w:r>
      <w:r>
        <w:t>7</w:t>
      </w:r>
      <w:r w:rsidR="00B65A8C" w:rsidRPr="00B65A8C">
        <w:t>]</w:t>
      </w:r>
      <w:r w:rsidR="00FC1B29" w:rsidRPr="00FC1B29">
        <w:t xml:space="preserve">. </w:t>
      </w:r>
    </w:p>
    <w:p w:rsidR="00FC1B29" w:rsidRPr="00FC1B29" w:rsidRDefault="00FC1B29" w:rsidP="008277C8">
      <w:r w:rsidRPr="00FC1B29">
        <w:t>Инклюзивная «зеленая» экономика представлена в качестве пути к достижению Повестки дня для устойчивого развития 2030 г</w:t>
      </w:r>
      <w:r w:rsidR="0082445F">
        <w:t>.</w:t>
      </w:r>
      <w:r w:rsidRPr="00FC1B29">
        <w:t>, искоренению нищеты при сохранении экологических порогов, которые лежат в основе здоровья человека, благосостояния и развития [</w:t>
      </w:r>
      <w:r w:rsidR="0082445F">
        <w:t>4</w:t>
      </w:r>
      <w:r w:rsidRPr="00FC1B29">
        <w:t>].</w:t>
      </w:r>
    </w:p>
    <w:p w:rsidR="00FC1B29" w:rsidRPr="00FC1B29" w:rsidRDefault="00FC1B29" w:rsidP="008277C8">
      <w:r w:rsidRPr="00FC1B29">
        <w:t xml:space="preserve">Зеленый рост, возникший параллельно в качестве флагманской инициативы ОЭСР, заключается в содействии экономическому росту и развитию, обеспечивая при этом, чтобы природные ресурсы продолжали предоставлять ресурсы и экологические услуги, на которые опирается вся рыночная экономика. Для этого он должен стимулировать инвестиции и инновации, которые будут поддерживать устойчивый рост и порождать </w:t>
      </w:r>
      <w:r w:rsidR="0082445F">
        <w:t>новые экономические возможности</w:t>
      </w:r>
      <w:r w:rsidRPr="00FC1B29">
        <w:t>» [</w:t>
      </w:r>
      <w:r w:rsidR="0082445F">
        <w:t>9</w:t>
      </w:r>
      <w:r w:rsidRPr="00FC1B29">
        <w:t>].</w:t>
      </w:r>
    </w:p>
    <w:p w:rsidR="00A52D43" w:rsidRDefault="0082445F" w:rsidP="008277C8">
      <w:r>
        <w:t>«</w:t>
      </w:r>
      <w:r w:rsidR="00A52D43">
        <w:t>З</w:t>
      </w:r>
      <w:r w:rsidR="00FC1B29" w:rsidRPr="00FC1B29">
        <w:t>еленая</w:t>
      </w:r>
      <w:r>
        <w:t>»</w:t>
      </w:r>
      <w:r w:rsidR="00FC1B29" w:rsidRPr="00FC1B29">
        <w:t xml:space="preserve"> экономика</w:t>
      </w:r>
      <w:r w:rsidR="00A52D43">
        <w:t xml:space="preserve"> и </w:t>
      </w:r>
      <w:r>
        <w:t>«</w:t>
      </w:r>
      <w:r w:rsidR="00FC1B29" w:rsidRPr="00FC1B29">
        <w:t>зеленый</w:t>
      </w:r>
      <w:r>
        <w:t>»</w:t>
      </w:r>
      <w:r w:rsidR="00FC1B29" w:rsidRPr="00FC1B29">
        <w:t xml:space="preserve"> рост </w:t>
      </w:r>
      <w:r w:rsidR="00A52D43">
        <w:t>сейчас</w:t>
      </w:r>
      <w:r w:rsidR="00FC1B29" w:rsidRPr="00FC1B29">
        <w:t xml:space="preserve"> рассматрива</w:t>
      </w:r>
      <w:r w:rsidR="00A52D43">
        <w:t>ю</w:t>
      </w:r>
      <w:r w:rsidR="00FC1B29" w:rsidRPr="00FC1B29">
        <w:t>тся с точки зрения концепции низкоуглеродного развития и низкоуглеродного роста, в которой основное внимание уделяется инвестициям, снижающи</w:t>
      </w:r>
      <w:r w:rsidR="00A52D43">
        <w:t>м</w:t>
      </w:r>
      <w:r w:rsidR="00FC1B29" w:rsidRPr="00FC1B29">
        <w:t xml:space="preserve"> выбросы углерода в атмосферу или, по крайней мере, уменьшающие</w:t>
      </w:r>
      <w:r w:rsidR="00956C73">
        <w:t xml:space="preserve"> </w:t>
      </w:r>
      <w:r w:rsidR="00FC1B29" w:rsidRPr="00FC1B29">
        <w:t>темпы роста</w:t>
      </w:r>
      <w:r w:rsidR="00A52D43">
        <w:t xml:space="preserve"> этих выбросов</w:t>
      </w:r>
      <w:r w:rsidR="00FC1B29" w:rsidRPr="00FC1B29">
        <w:t xml:space="preserve">. </w:t>
      </w:r>
      <w:r>
        <w:t>«</w:t>
      </w:r>
      <w:r w:rsidR="00FC1B29" w:rsidRPr="00FC1B29">
        <w:t>Зеленая</w:t>
      </w:r>
      <w:r>
        <w:t>»</w:t>
      </w:r>
      <w:r w:rsidR="00FC1B29" w:rsidRPr="00FC1B29">
        <w:t xml:space="preserve"> экономика и </w:t>
      </w:r>
      <w:r>
        <w:t>«</w:t>
      </w:r>
      <w:r w:rsidR="00FC1B29" w:rsidRPr="00FC1B29">
        <w:t>зеленый</w:t>
      </w:r>
      <w:r>
        <w:t>»</w:t>
      </w:r>
      <w:r w:rsidR="00FC1B29" w:rsidRPr="00FC1B29">
        <w:t xml:space="preserve"> рост также включают в себя другие аспекты, такие как эффективность </w:t>
      </w:r>
      <w:r w:rsidR="00A52D43">
        <w:t xml:space="preserve">использования </w:t>
      </w:r>
      <w:r w:rsidR="00FC1B29" w:rsidRPr="00FC1B29">
        <w:t xml:space="preserve">ресурсов в целом. Это побудило экономистов реанимировать циркулярную экономику </w:t>
      </w:r>
      <w:r>
        <w:t>–</w:t>
      </w:r>
      <w:r w:rsidR="00956C73">
        <w:t xml:space="preserve"> </w:t>
      </w:r>
      <w:r w:rsidR="00FC1B29" w:rsidRPr="00FC1B29">
        <w:t>давнюю концепцию, и ряд других экономических понятий и определений</w:t>
      </w:r>
      <w:r w:rsidR="00A52D43" w:rsidRPr="00A52D43">
        <w:t xml:space="preserve"> [1]</w:t>
      </w:r>
      <w:r w:rsidR="00FC1B29" w:rsidRPr="00FC1B29">
        <w:t xml:space="preserve">. </w:t>
      </w:r>
    </w:p>
    <w:p w:rsidR="00FC1B29" w:rsidRPr="00FC1B29" w:rsidRDefault="00FC1B29" w:rsidP="008277C8">
      <w:r w:rsidRPr="00FC1B29">
        <w:t xml:space="preserve">Концепция </w:t>
      </w:r>
      <w:r w:rsidR="0082445F">
        <w:t>«</w:t>
      </w:r>
      <w:r w:rsidRPr="00FC1B29">
        <w:t>циркулярной</w:t>
      </w:r>
      <w:r w:rsidR="0082445F">
        <w:t>»</w:t>
      </w:r>
      <w:r w:rsidRPr="00FC1B29">
        <w:t xml:space="preserve"> (круговой) экономики фокусируется на минимизации отходов за счет ресурсоэффективности, повторного использования и переработки. В основе этого лежит концепция замкнутых систем, в которых все сырьевые материалы отбираются в ответ на растущий дефицит ресурсов и </w:t>
      </w:r>
      <w:r w:rsidR="00A52D43">
        <w:t xml:space="preserve">возникающие </w:t>
      </w:r>
      <w:r w:rsidRPr="00FC1B29">
        <w:t xml:space="preserve">проблемы управления отходами. </w:t>
      </w:r>
      <w:r w:rsidR="0082445F">
        <w:t>«</w:t>
      </w:r>
      <w:r w:rsidRPr="00FC1B29">
        <w:t>Циркулярную</w:t>
      </w:r>
      <w:r w:rsidR="0082445F">
        <w:t>»</w:t>
      </w:r>
      <w:r w:rsidRPr="00FC1B29">
        <w:t xml:space="preserve"> (круговую) экономику можно рассматривать как более конкретную стратегию трансформации и развития промышленности и инфраструктуры для содействия устойчивому потреблению и производству. </w:t>
      </w:r>
    </w:p>
    <w:p w:rsidR="00FC1B29" w:rsidRPr="00FC1B29" w:rsidRDefault="00FC1B29" w:rsidP="008277C8">
      <w:r w:rsidRPr="00FC1B29">
        <w:t>На 46-м Всемирном экономическом форуме в Давосе (20-23 января 2016 г</w:t>
      </w:r>
      <w:r w:rsidR="0082445F">
        <w:t>.</w:t>
      </w:r>
      <w:r w:rsidRPr="00FC1B29">
        <w:t xml:space="preserve">) в рамках дискуссий с целью исчерпывающего и общемирового понимания, обсуждались вопросы экологии и так называемой </w:t>
      </w:r>
      <w:r w:rsidR="0082445F">
        <w:t>«</w:t>
      </w:r>
      <w:r w:rsidRPr="00FC1B29">
        <w:t>ци</w:t>
      </w:r>
      <w:r w:rsidR="0099314A">
        <w:t>клической</w:t>
      </w:r>
      <w:r w:rsidR="0082445F">
        <w:t>»</w:t>
      </w:r>
      <w:r w:rsidRPr="00FC1B29">
        <w:t xml:space="preserve"> экономики</w:t>
      </w:r>
      <w:r w:rsidR="0099314A">
        <w:t xml:space="preserve"> </w:t>
      </w:r>
      <w:r w:rsidR="0099314A" w:rsidRPr="0099314A">
        <w:t>(синонимы; круговая, циркулярная)</w:t>
      </w:r>
      <w:r w:rsidRPr="00FC1B29">
        <w:t xml:space="preserve">, </w:t>
      </w:r>
      <w:r w:rsidR="00B65A8C">
        <w:t>которая п</w:t>
      </w:r>
      <w:r w:rsidRPr="00FC1B29">
        <w:t>редполага</w:t>
      </w:r>
      <w:r w:rsidR="00B65A8C">
        <w:t>ет</w:t>
      </w:r>
      <w:r w:rsidRPr="00FC1B29">
        <w:t xml:space="preserve"> непрерывный оборот технических и биологических материалов при производстве</w:t>
      </w:r>
      <w:r w:rsidR="00B65A8C">
        <w:t xml:space="preserve"> с целью </w:t>
      </w:r>
      <w:r w:rsidRPr="00FC1B29">
        <w:t>сохранени</w:t>
      </w:r>
      <w:r w:rsidR="00B65A8C">
        <w:t>я</w:t>
      </w:r>
      <w:r w:rsidRPr="00FC1B29">
        <w:t xml:space="preserve"> ценных природных ресурсов. </w:t>
      </w:r>
      <w:r w:rsidR="0082445F">
        <w:t>«</w:t>
      </w:r>
      <w:r w:rsidRPr="00FC1B29">
        <w:t>Ци</w:t>
      </w:r>
      <w:r w:rsidR="0099314A">
        <w:t>клическая</w:t>
      </w:r>
      <w:r w:rsidR="0082445F">
        <w:t>»</w:t>
      </w:r>
      <w:r w:rsidRPr="00FC1B29">
        <w:t xml:space="preserve"> экономика идёт на смену линейным моделям производства, доставши</w:t>
      </w:r>
      <w:r w:rsidR="00B65A8C">
        <w:t>м</w:t>
      </w:r>
      <w:r w:rsidRPr="00FC1B29">
        <w:t xml:space="preserve">ся нам в наследство от предыдущих промышленных революций. Линейные модели производства сегодня обнаруживают множество серьёзных недостатков, одним из которых являются растущие экологические проблемы и новая промышленная революция призвана исправить накопившиеся негативные факторы. </w:t>
      </w:r>
      <w:r w:rsidR="00B65A8C">
        <w:t xml:space="preserve">В этой связи </w:t>
      </w:r>
      <w:r w:rsidR="0082445F">
        <w:t>«</w:t>
      </w:r>
      <w:r w:rsidR="00B65A8C" w:rsidRPr="00FC1B29">
        <w:t>ци</w:t>
      </w:r>
      <w:r w:rsidR="0099314A">
        <w:t>клическая</w:t>
      </w:r>
      <w:r w:rsidR="0082445F">
        <w:t>»</w:t>
      </w:r>
      <w:r w:rsidR="00B65A8C" w:rsidRPr="00FC1B29">
        <w:t xml:space="preserve"> экономика </w:t>
      </w:r>
      <w:r w:rsidR="00B65A8C">
        <w:t>является о</w:t>
      </w:r>
      <w:r w:rsidRPr="00FC1B29">
        <w:t>дним из инструментов решения проблемы загрязнения и обеспечения стабильного э</w:t>
      </w:r>
      <w:r w:rsidR="00B65A8C">
        <w:t xml:space="preserve">кологического будущего </w:t>
      </w:r>
      <w:r w:rsidRPr="00FC1B29">
        <w:t>[</w:t>
      </w:r>
      <w:r w:rsidR="0082445F">
        <w:t>10</w:t>
      </w:r>
      <w:r w:rsidRPr="00FC1B29">
        <w:t>].</w:t>
      </w:r>
    </w:p>
    <w:p w:rsidR="00FC1B29" w:rsidRPr="00FC1B29" w:rsidRDefault="00FC1B29" w:rsidP="008277C8">
      <w:r w:rsidRPr="00FC1B29">
        <w:t>Ци</w:t>
      </w:r>
      <w:r w:rsidR="0099314A">
        <w:t>клическая</w:t>
      </w:r>
      <w:r w:rsidRPr="00FC1B29">
        <w:t xml:space="preserve"> модель экономики позволяет добиваться в экономике непрерывного оборота технических и биологических материалов, при этом сохранять ценные ресурсы, не ставя экономический рост в зависимость от потребления. Экономическая составляющая ци</w:t>
      </w:r>
      <w:r w:rsidR="0099314A">
        <w:t>клической</w:t>
      </w:r>
      <w:r w:rsidRPr="00FC1B29">
        <w:t xml:space="preserve"> модели экономики подразумевает оптимальное использование ограниченных природных ресурсов и применение технологий, сберегающих не только материалы, энергию, </w:t>
      </w:r>
      <w:r w:rsidRPr="00FC1B29">
        <w:lastRenderedPageBreak/>
        <w:t>но и саму природу и природные ресурсы, в том числе добычу и переработку сырья, создание экологически приемлемой продукции, эффективное регулирование отходов производства путём их минимизации, переработки или уничтожения. Ключевыми факторами внедрения ци</w:t>
      </w:r>
      <w:r w:rsidR="0099314A">
        <w:t>клической</w:t>
      </w:r>
      <w:r w:rsidRPr="00FC1B29">
        <w:t xml:space="preserve"> модели экономики являются продление срока службы и максимальная эффективность использования активов, а именно зацикливание и регенерация природного капитала. В мировой практике уже сегодня существует много примеров внедрения устойчивых моделей в бизнесе. Концепция бережливого производства является одним из направлений на пути к ци</w:t>
      </w:r>
      <w:r w:rsidR="0099314A">
        <w:t>клической</w:t>
      </w:r>
      <w:r w:rsidRPr="00FC1B29">
        <w:t xml:space="preserve"> экономик</w:t>
      </w:r>
      <w:r w:rsidR="0099314A">
        <w:t>е</w:t>
      </w:r>
      <w:r w:rsidRPr="00FC1B29">
        <w:t xml:space="preserve">, фокус не только на повышение качества, но и на эффективность </w:t>
      </w:r>
      <w:r w:rsidR="00B65A8C">
        <w:t xml:space="preserve">использования </w:t>
      </w:r>
      <w:r w:rsidRPr="00FC1B29">
        <w:t>ресурсов [</w:t>
      </w:r>
      <w:r w:rsidR="0082445F">
        <w:t>10</w:t>
      </w:r>
      <w:r w:rsidRPr="00FC1B29">
        <w:t>].</w:t>
      </w:r>
    </w:p>
    <w:p w:rsidR="00B65A8C" w:rsidRDefault="00FC1B29" w:rsidP="008277C8">
      <w:r w:rsidRPr="00FC1B29">
        <w:t>Надежды на</w:t>
      </w:r>
      <w:r w:rsidR="00956C73">
        <w:t xml:space="preserve"> </w:t>
      </w:r>
      <w:r w:rsidRPr="00FC1B29">
        <w:t>развитие ци</w:t>
      </w:r>
      <w:r w:rsidR="0099314A">
        <w:t>клической</w:t>
      </w:r>
      <w:r w:rsidRPr="00FC1B29">
        <w:t xml:space="preserve"> модели экономики, также как надежды на развитие зелёной модели экономики</w:t>
      </w:r>
      <w:r w:rsidR="005E7B71">
        <w:t xml:space="preserve"> вообще</w:t>
      </w:r>
      <w:r w:rsidRPr="00FC1B29">
        <w:t>, опираются на идею устойчивого развития, поскольку реализация этой идеи считается</w:t>
      </w:r>
      <w:r w:rsidR="00956C73">
        <w:t xml:space="preserve"> </w:t>
      </w:r>
      <w:r w:rsidRPr="00FC1B29">
        <w:t xml:space="preserve">главной целью для </w:t>
      </w:r>
      <w:r w:rsidR="005E7B71">
        <w:t xml:space="preserve">современного </w:t>
      </w:r>
      <w:r w:rsidRPr="00FC1B29">
        <w:t xml:space="preserve">общества. Компании должны сосредоточиться на оптимизации использования, поскольку такой фокус может привести к повышению эффективности использования ресурсов, что может быть экономически и экологически выгодным. Продукты следует рассматривать как имеющие лишь вспомогательную роль в создании ценности для фирм и их клиентов. </w:t>
      </w:r>
    </w:p>
    <w:p w:rsidR="00FC1B29" w:rsidRPr="00FC1B29" w:rsidRDefault="00FC1B29" w:rsidP="008277C8">
      <w:r w:rsidRPr="00FC1B29">
        <w:t>В докладе</w:t>
      </w:r>
      <w:r w:rsidR="00956C73">
        <w:t xml:space="preserve"> </w:t>
      </w:r>
      <w:r w:rsidRPr="00FC1B29">
        <w:t>ЮНЕП [</w:t>
      </w:r>
      <w:r w:rsidR="00A52D43">
        <w:t>1</w:t>
      </w:r>
      <w:r w:rsidRPr="00FC1B29">
        <w:t xml:space="preserve">] </w:t>
      </w:r>
      <w:r w:rsidR="0099314A">
        <w:t>циклическая</w:t>
      </w:r>
      <w:r w:rsidR="00956C73">
        <w:t xml:space="preserve"> </w:t>
      </w:r>
      <w:r w:rsidRPr="00FC1B29">
        <w:t>модель экономики</w:t>
      </w:r>
      <w:r w:rsidR="00956C73">
        <w:t xml:space="preserve"> </w:t>
      </w:r>
      <w:r w:rsidRPr="00FC1B29">
        <w:t xml:space="preserve">признана одним из ключевых компонентов всеобъемлющей «зеленой» экономики. </w:t>
      </w:r>
      <w:r w:rsidR="0099314A">
        <w:t>Длительное время использовался термин «б</w:t>
      </w:r>
      <w:r w:rsidRPr="00FC1B29">
        <w:t>иоэкономика</w:t>
      </w:r>
      <w:r w:rsidR="0099314A">
        <w:t>», который возник в качестве отклика</w:t>
      </w:r>
      <w:r w:rsidRPr="00FC1B29">
        <w:t xml:space="preserve"> на озабоченность по поводу увеличения д</w:t>
      </w:r>
      <w:r w:rsidR="0099314A">
        <w:t>ефицита биоресурсов в</w:t>
      </w:r>
      <w:r w:rsidRPr="00FC1B29">
        <w:t xml:space="preserve"> сельско</w:t>
      </w:r>
      <w:r w:rsidR="0099314A">
        <w:t>м</w:t>
      </w:r>
      <w:r w:rsidRPr="00FC1B29">
        <w:t xml:space="preserve"> хозяйств</w:t>
      </w:r>
      <w:r w:rsidR="0099314A">
        <w:t>е</w:t>
      </w:r>
      <w:r w:rsidRPr="00FC1B29">
        <w:t>, лесно</w:t>
      </w:r>
      <w:r w:rsidR="0099314A">
        <w:t>м</w:t>
      </w:r>
      <w:r w:rsidRPr="00FC1B29">
        <w:t xml:space="preserve"> хозяйств</w:t>
      </w:r>
      <w:r w:rsidR="0099314A">
        <w:t>е</w:t>
      </w:r>
      <w:r w:rsidRPr="00FC1B29">
        <w:t xml:space="preserve"> и </w:t>
      </w:r>
      <w:r w:rsidR="0099314A">
        <w:t xml:space="preserve">в </w:t>
      </w:r>
      <w:r w:rsidRPr="00FC1B29">
        <w:t>рыболовств</w:t>
      </w:r>
      <w:r w:rsidR="0099314A">
        <w:t>е</w:t>
      </w:r>
      <w:r w:rsidRPr="00FC1B29">
        <w:t xml:space="preserve">. В </w:t>
      </w:r>
      <w:r w:rsidR="0082445F">
        <w:t>«</w:t>
      </w:r>
      <w:r w:rsidR="0099314A">
        <w:t>циклической</w:t>
      </w:r>
      <w:r w:rsidR="0082445F">
        <w:t>»</w:t>
      </w:r>
      <w:r w:rsidR="0099314A">
        <w:t xml:space="preserve"> экономике (циркулярной или круговой) понятие </w:t>
      </w:r>
      <w:r w:rsidR="0082445F">
        <w:t>«</w:t>
      </w:r>
      <w:r w:rsidR="0099314A">
        <w:t>биоэкономики</w:t>
      </w:r>
      <w:r w:rsidR="0082445F">
        <w:t>»</w:t>
      </w:r>
      <w:r w:rsidR="0099314A">
        <w:t xml:space="preserve"> используется</w:t>
      </w:r>
      <w:r w:rsidRPr="00FC1B29">
        <w:t xml:space="preserve"> </w:t>
      </w:r>
      <w:r w:rsidR="0099314A">
        <w:t>для выделения вопросов</w:t>
      </w:r>
      <w:r w:rsidRPr="00FC1B29">
        <w:t xml:space="preserve"> переход</w:t>
      </w:r>
      <w:r w:rsidR="0099314A">
        <w:t>а</w:t>
      </w:r>
      <w:r w:rsidRPr="00FC1B29">
        <w:t xml:space="preserve"> к оптимальному и устойчивому использованию возобновляемых биоресурсов</w:t>
      </w:r>
      <w:r w:rsidR="0099314A">
        <w:t>, в том числе</w:t>
      </w:r>
      <w:r w:rsidR="00956C73">
        <w:t xml:space="preserve"> </w:t>
      </w:r>
      <w:r w:rsidRPr="00FC1B29">
        <w:t>в качестве материалов и биоэнергетики [</w:t>
      </w:r>
      <w:r w:rsidR="0082445F">
        <w:t>10</w:t>
      </w:r>
      <w:r w:rsidRPr="00FC1B29">
        <w:t>].</w:t>
      </w:r>
    </w:p>
    <w:p w:rsidR="00EB3452" w:rsidRPr="00EB3452" w:rsidRDefault="00EB3452" w:rsidP="008277C8">
      <w:r w:rsidRPr="00EB3452">
        <w:t>В июне 2017 г</w:t>
      </w:r>
      <w:r w:rsidR="0082445F">
        <w:t>. (5-7 июня, Хельсинки</w:t>
      </w:r>
      <w:r w:rsidRPr="00EB3452">
        <w:t xml:space="preserve">) состоялся первый </w:t>
      </w:r>
      <w:r w:rsidR="0082445F" w:rsidRPr="00EB3452">
        <w:t xml:space="preserve">Всемирный </w:t>
      </w:r>
      <w:r w:rsidRPr="00EB3452">
        <w:t xml:space="preserve">форум циклической экономики, организованный усилиями финского </w:t>
      </w:r>
      <w:r w:rsidR="0082445F" w:rsidRPr="00EB3452">
        <w:t xml:space="preserve">Национального </w:t>
      </w:r>
      <w:r w:rsidRPr="00EB3452">
        <w:t xml:space="preserve">фонда инноваций Sitra. Форум стал первой масштабной международной площадкой для обсуждения новых принципов организации производства и создания экологически устойчивой экономики. На встрече собрались ведущие мировые эксперты и лица, ответственные за принятие решений, круговое экономическое направление </w:t>
      </w:r>
      <w:r w:rsidR="0082445F">
        <w:t>–</w:t>
      </w:r>
      <w:r w:rsidRPr="00EB3452">
        <w:t xml:space="preserve"> в общей сложности около 1500 участников из более чем 100 стран. </w:t>
      </w:r>
    </w:p>
    <w:p w:rsidR="00EB3452" w:rsidRPr="00EB3452" w:rsidRDefault="00EB3452" w:rsidP="008277C8">
      <w:r w:rsidRPr="00EB3452">
        <w:t>Согласно документам этого форума его основные выводы и результаты помогут правительствам, предприятиям и всем нам сосредоточиться на политике, практике и путях для достижения более замкнутой циклической</w:t>
      </w:r>
      <w:r w:rsidR="00956C73">
        <w:t xml:space="preserve"> </w:t>
      </w:r>
      <w:r w:rsidRPr="00EB3452">
        <w:t>экономики, поскольку по мнению его организаторов другого выбора у человечества нет и экономика должна адаптироваться к конечным природным ресурсам нашей планеты (</w:t>
      </w:r>
      <w:r w:rsidR="0082445F">
        <w:t>как отметил</w:t>
      </w:r>
      <w:r w:rsidRPr="00EB3452">
        <w:t xml:space="preserve"> Тимо Макела, главн</w:t>
      </w:r>
      <w:r w:rsidR="0082445F">
        <w:t>ый</w:t>
      </w:r>
      <w:r w:rsidRPr="00EB3452">
        <w:t xml:space="preserve"> советник </w:t>
      </w:r>
      <w:r w:rsidR="0082445F" w:rsidRPr="00EB3452">
        <w:t xml:space="preserve">Фонда </w:t>
      </w:r>
      <w:r w:rsidRPr="00EB3452">
        <w:t xml:space="preserve">инноваций Sitra по углеродно-нейтральной циклической экономике, Финляндия является первой страной в мире, которая разработала национальную дорожную карту для перехода к </w:t>
      </w:r>
      <w:r w:rsidR="0082445F">
        <w:t>«</w:t>
      </w:r>
      <w:r w:rsidRPr="00EB3452">
        <w:t>циклической</w:t>
      </w:r>
      <w:r w:rsidR="0082445F">
        <w:t>»</w:t>
      </w:r>
      <w:r w:rsidRPr="00EB3452">
        <w:t xml:space="preserve"> экономике. Представители ЮНЕП отметили неизбежность перехода мировой экономики к низкоуглеродной, эффективной и чистой (зелёной) экономике. Но представитель «Международной комиссии по ресурсам», которая является специальным экспертным органом при ЮНЕП, был менее </w:t>
      </w:r>
      <w:r w:rsidR="0082445F">
        <w:t>оптимистичным и отметил, что 60</w:t>
      </w:r>
      <w:r w:rsidRPr="00EB3452">
        <w:t>% экосистем мира уже получили значительный ущерб и что 33% плодородных почв нашей планеты было разрушено эрозией. Больше всего он обеспокоен тем, что с 2000 г</w:t>
      </w:r>
      <w:r w:rsidR="0082445F">
        <w:t>.</w:t>
      </w:r>
      <w:r w:rsidRPr="00EB3452">
        <w:t xml:space="preserve"> эффективность использования ресурсов в мире по факту уменьшилась.</w:t>
      </w:r>
    </w:p>
    <w:p w:rsidR="00EB3452" w:rsidRPr="00EB3452" w:rsidRDefault="00EB3452" w:rsidP="008277C8">
      <w:r w:rsidRPr="00EB3452">
        <w:t xml:space="preserve">Под </w:t>
      </w:r>
      <w:r w:rsidR="0082445F">
        <w:t>«</w:t>
      </w:r>
      <w:r w:rsidRPr="00EB3452">
        <w:t>циклической</w:t>
      </w:r>
      <w:r w:rsidR="0082445F">
        <w:t>»</w:t>
      </w:r>
      <w:r w:rsidRPr="00EB3452">
        <w:t xml:space="preserve"> (циркулярной) понимается экономика с замкнутым циклом производства, потребления и утилизации</w:t>
      </w:r>
      <w:r w:rsidR="00956C73">
        <w:t xml:space="preserve"> </w:t>
      </w:r>
      <w:r w:rsidRPr="00EB3452">
        <w:t xml:space="preserve">продуктов, когда предусматривается многократное использование материалов и ресурсов, включая стопроцентную утилизацию отходов и их вторичное использование. Новый глава ПРООН сообщил на </w:t>
      </w:r>
      <w:r w:rsidR="0082445F" w:rsidRPr="00EB3452">
        <w:t xml:space="preserve">Форуме </w:t>
      </w:r>
      <w:r w:rsidRPr="00EB3452">
        <w:t xml:space="preserve">в Хельсинки, что благодаря внедрению принципов </w:t>
      </w:r>
      <w:r w:rsidR="007E381E">
        <w:t>«</w:t>
      </w:r>
      <w:r w:rsidRPr="00EB3452">
        <w:t>циклической</w:t>
      </w:r>
      <w:r w:rsidR="007E381E">
        <w:t>»</w:t>
      </w:r>
      <w:r w:rsidRPr="00EB3452">
        <w:t xml:space="preserve"> экономики мировой экономический рост может стать более равномерным и справедливым, а благосостояние всех стран сможет увеличиваться, одновременно при снижении мирового потребления материалов и энергии.</w:t>
      </w:r>
    </w:p>
    <w:p w:rsidR="00EB3452" w:rsidRPr="00EB3452" w:rsidRDefault="00EB3452" w:rsidP="008277C8">
      <w:r w:rsidRPr="00EB3452">
        <w:lastRenderedPageBreak/>
        <w:t xml:space="preserve">Мировая экономика в настоящее время составляет приблизительно 80 </w:t>
      </w:r>
      <w:r w:rsidR="007E381E">
        <w:t>трлн</w:t>
      </w:r>
      <w:r w:rsidRPr="00EB3452">
        <w:t xml:space="preserve"> долл</w:t>
      </w:r>
      <w:r w:rsidR="007E381E">
        <w:t>.</w:t>
      </w:r>
      <w:r w:rsidRPr="00EB3452">
        <w:t xml:space="preserve"> США, т.е. удво</w:t>
      </w:r>
      <w:r w:rsidR="007E381E">
        <w:t>илось с начала XXI века. В ХХ в.</w:t>
      </w:r>
      <w:r w:rsidRPr="00EB3452">
        <w:t xml:space="preserve"> население мира увеличилось почти в </w:t>
      </w:r>
      <w:r w:rsidR="007E381E">
        <w:t>4</w:t>
      </w:r>
      <w:r w:rsidRPr="00EB3452">
        <w:t xml:space="preserve"> раза, и к 2100 г</w:t>
      </w:r>
      <w:r w:rsidR="007E381E">
        <w:t>.</w:t>
      </w:r>
      <w:r w:rsidRPr="00EB3452">
        <w:t xml:space="preserve"> ожидается рост еще на 50% примерно до 11 </w:t>
      </w:r>
      <w:r w:rsidR="007E381E">
        <w:t>млрд</w:t>
      </w:r>
      <w:r w:rsidRPr="00EB3452">
        <w:t xml:space="preserve"> человек. На этом фоне нынешняя экономическая модель постоянно растущего производства и потребления, и проблемы неравенства, главными из которых являются дефицит и неравный доступ к природным ресурсам и энергии, а также экологические, социальные и геополитические проблемы производства и потребления, вызывает серьёзное беспокойство. Концепция </w:t>
      </w:r>
      <w:r w:rsidR="007E381E">
        <w:t>«</w:t>
      </w:r>
      <w:r w:rsidRPr="00EB3452">
        <w:t>циклической</w:t>
      </w:r>
      <w:r w:rsidR="007E381E">
        <w:t>»</w:t>
      </w:r>
      <w:r w:rsidRPr="00EB3452">
        <w:t xml:space="preserve"> экономики</w:t>
      </w:r>
      <w:r w:rsidR="00956C73">
        <w:t xml:space="preserve"> </w:t>
      </w:r>
      <w:r w:rsidRPr="00EB3452">
        <w:t xml:space="preserve">не является абсолютно новой, но она позволяет развивать альтернативную модель экономики на разумных принципах. </w:t>
      </w:r>
    </w:p>
    <w:p w:rsidR="00B65A8C" w:rsidRDefault="00EB3452" w:rsidP="008277C8">
      <w:r w:rsidRPr="00EB3452">
        <w:t xml:space="preserve">На </w:t>
      </w:r>
      <w:r w:rsidR="007E381E" w:rsidRPr="00EB3452">
        <w:t xml:space="preserve">Всемирном </w:t>
      </w:r>
      <w:r w:rsidRPr="00EB3452">
        <w:t xml:space="preserve">форме по циклической экономике в Хельсинки было продемонстрировано, что </w:t>
      </w:r>
      <w:r w:rsidR="007E381E">
        <w:t>«</w:t>
      </w:r>
      <w:r w:rsidRPr="00EB3452">
        <w:t>циклическая</w:t>
      </w:r>
      <w:r w:rsidR="007E381E">
        <w:t>»</w:t>
      </w:r>
      <w:r w:rsidRPr="00EB3452">
        <w:t xml:space="preserve"> (круговая) экономика представляет новые и беспрецедентные возможности для создания богатства и поддержки благосостояния, а также для демонстрации того, что это важный механизм для достижения «Повестки дня для устойчивого развития ООН и целей устойчивого развития».</w:t>
      </w:r>
      <w:r w:rsidR="00956C73">
        <w:t xml:space="preserve"> </w:t>
      </w:r>
      <w:r w:rsidRPr="00EB3452">
        <w:t>На 17 пленарных и параллельных сессиях Всемирного форума по циклической экономике были рассмотрены самые разнообразные темы, в том числе: интеграция циклической</w:t>
      </w:r>
      <w:r w:rsidR="00956C73">
        <w:t xml:space="preserve"> </w:t>
      </w:r>
      <w:r w:rsidRPr="00EB3452">
        <w:t>экономики в повестку дня 2030 г</w:t>
      </w:r>
      <w:r w:rsidR="007E381E">
        <w:t>.</w:t>
      </w:r>
      <w:r w:rsidRPr="00EB3452">
        <w:t xml:space="preserve">; инновационные проблемы для циклической экономики; экономические исследования циклической экономики; финансирование циклической экономики и др. Все сессии транслировались в прямом эфире, а видеозапись доступна на веб-сайте WCEF2017. Конечным итогом Всемирного форума по </w:t>
      </w:r>
      <w:r w:rsidR="007E381E">
        <w:t>«</w:t>
      </w:r>
      <w:r w:rsidRPr="00EB3452">
        <w:t>циклической</w:t>
      </w:r>
      <w:r w:rsidR="007E381E">
        <w:t>»</w:t>
      </w:r>
      <w:r w:rsidRPr="00EB3452">
        <w:t xml:space="preserve"> экономиики в стал убедительный призыв участников </w:t>
      </w:r>
      <w:r w:rsidR="007E381E" w:rsidRPr="00EB3452">
        <w:t xml:space="preserve">Форума </w:t>
      </w:r>
      <w:r w:rsidRPr="00EB3452">
        <w:t xml:space="preserve">к государственным и частные структурам включить </w:t>
      </w:r>
      <w:r w:rsidR="007E381E">
        <w:t>«</w:t>
      </w:r>
      <w:r w:rsidRPr="00EB3452">
        <w:t>циклическую</w:t>
      </w:r>
      <w:r w:rsidR="007E381E">
        <w:t>»</w:t>
      </w:r>
      <w:r w:rsidRPr="00EB3452">
        <w:t xml:space="preserve"> экономику в глобальную экономическую модель и развернуть её на переднем крае борьбы с глобальными вызовами.</w:t>
      </w:r>
    </w:p>
    <w:p w:rsidR="00FC1B29" w:rsidRPr="00FC1B29" w:rsidRDefault="00FC1B29" w:rsidP="008277C8">
      <w:r w:rsidRPr="00FC1B29">
        <w:t>На семинаре в Женеве [</w:t>
      </w:r>
      <w:r w:rsidR="007E381E">
        <w:t>3</w:t>
      </w:r>
      <w:r w:rsidRPr="00FC1B29">
        <w:t>] подробно рассматривались методы оценки природного капитала в рамках системы эколого-экономического учета (СЭЭУ), международной инициативы, координируемой под эгидой Статотдела ООН. СЭЭУ представляет собой стандартизованную структуру для интеграции данных о природных и экологических ресурсах в виде набора таблиц и счетов, которые сопровождают Системы национальных счетов (СНС). СЭЭУ также уделяет особое внимание сектору сельского хозяйства, лесного хозяйства и рыболовства.</w:t>
      </w:r>
    </w:p>
    <w:p w:rsidR="00FC1B29" w:rsidRPr="00FC1B29" w:rsidRDefault="00FC1B29" w:rsidP="008277C8">
      <w:r w:rsidRPr="00FC1B29">
        <w:t>Всемирный банк с 2010 г</w:t>
      </w:r>
      <w:r w:rsidR="007E381E">
        <w:t>.</w:t>
      </w:r>
      <w:r w:rsidRPr="00FC1B29">
        <w:t xml:space="preserve"> возглавляет партнёрство по координации </w:t>
      </w:r>
      <w:r w:rsidR="007E381E">
        <w:t>СЭЭУ</w:t>
      </w:r>
      <w:r w:rsidRPr="00FC1B29">
        <w:t xml:space="preserve"> в сельском хозяйстве и систем оценки экосистемных услуг лесов, которое в целом содействует актуализации природных ресурсов в процессе планирования и развития</w:t>
      </w:r>
      <w:r w:rsidR="00956C73">
        <w:t xml:space="preserve"> </w:t>
      </w:r>
      <w:r w:rsidRPr="00FC1B29">
        <w:t>национальных экономических счетов. Это делается посредством учета</w:t>
      </w:r>
      <w:r w:rsidR="00956C73">
        <w:t xml:space="preserve"> </w:t>
      </w:r>
      <w:r w:rsidRPr="00FC1B29">
        <w:t>естественного капитала, где существуют согласованные на международном уровне стандарты, а также путем разработки подходов к учету экосистемных услуг. Партнерство, возглавляемое Всемирным банком, включает в себя коалицию агентств ООН, правительств, международных институтов, неправительственных организаций и ученых. В частности, этим партнёрством охвачены экономика экосистем и биоразнообразия (TEEB), т.е. это глобальная инициатива, направленная на преобразование ценностей природы в видимые субъекты экономической деятельности. Основная задача ТЕЕВ заключается в том, чтобы включить ценности биоразнообразия и экосистемных услуг в процесс принятия решений на всех уровнях управления</w:t>
      </w:r>
      <w:r w:rsidR="00901A64">
        <w:t xml:space="preserve"> природными экосистемами</w:t>
      </w:r>
      <w:r w:rsidRPr="00FC1B29">
        <w:t>. Задача заключается в понимании ценности экосистемных услуг и в моделировании того, что произойдет, если мы будем рассматривать прогресс в рамках модели обычного бизнеса или в результате изменения политического подхода к управлению природными ресурсами [</w:t>
      </w:r>
      <w:r w:rsidR="007E381E">
        <w:t>3</w:t>
      </w:r>
      <w:r w:rsidRPr="00FC1B29">
        <w:t xml:space="preserve">]. </w:t>
      </w:r>
    </w:p>
    <w:p w:rsidR="00FC1B29" w:rsidRPr="00FC1B29" w:rsidRDefault="00FC1B29" w:rsidP="008277C8">
      <w:r w:rsidRPr="00FC1B29">
        <w:t>Леса в рамках TEEB имеют большое значение, но в ряде случаев они</w:t>
      </w:r>
      <w:r w:rsidR="00956C73">
        <w:t xml:space="preserve"> </w:t>
      </w:r>
      <w:r w:rsidRPr="00FC1B29">
        <w:t xml:space="preserve">не включены сегодня в процесс принятия решений, </w:t>
      </w:r>
      <w:r w:rsidR="00FC245B">
        <w:t xml:space="preserve">хотя обладают </w:t>
      </w:r>
      <w:r w:rsidRPr="00FC1B29">
        <w:t>ценность</w:t>
      </w:r>
      <w:r w:rsidR="00FC245B">
        <w:t>ю</w:t>
      </w:r>
      <w:r w:rsidRPr="00FC1B29">
        <w:t xml:space="preserve"> наследия </w:t>
      </w:r>
      <w:r w:rsidR="00FC245B">
        <w:t xml:space="preserve">генетических ресурсов </w:t>
      </w:r>
      <w:r w:rsidRPr="00FC1B29">
        <w:t>лесов, рекреационных ресурсов лесов, лесных экосистемных услуг, а также таких важных вопросов, как борьба с эрозией почв, почвообразование и т.п. Негативные последствия для лесов, такие как посягательство на место обитания, сокращение видов, сегодня не оцениваются [</w:t>
      </w:r>
      <w:r w:rsidR="007E381E">
        <w:t>3</w:t>
      </w:r>
      <w:r w:rsidRPr="00FC1B29">
        <w:t xml:space="preserve">]. </w:t>
      </w:r>
    </w:p>
    <w:p w:rsidR="00FC1B29" w:rsidRPr="00FC1B29" w:rsidRDefault="00901A64" w:rsidP="008277C8">
      <w:r>
        <w:lastRenderedPageBreak/>
        <w:t>Для ускорения</w:t>
      </w:r>
      <w:r w:rsidR="00FC1B29" w:rsidRPr="00FC1B29">
        <w:t xml:space="preserve"> переход</w:t>
      </w:r>
      <w:r w:rsidR="00056181">
        <w:t>а</w:t>
      </w:r>
      <w:r w:rsidR="00FC1B29" w:rsidRPr="00FC1B29">
        <w:t xml:space="preserve"> лесного сектора к «зеленой» экономике, а также </w:t>
      </w:r>
      <w:r>
        <w:t xml:space="preserve">для </w:t>
      </w:r>
      <w:r w:rsidR="00FC1B29" w:rsidRPr="00FC1B29">
        <w:t>поддерж</w:t>
      </w:r>
      <w:r>
        <w:t>ания</w:t>
      </w:r>
      <w:r w:rsidR="00FC1B29" w:rsidRPr="00FC1B29">
        <w:t xml:space="preserve"> переход</w:t>
      </w:r>
      <w:r>
        <w:t>а</w:t>
      </w:r>
      <w:r w:rsidR="00FC1B29" w:rsidRPr="00FC1B29">
        <w:t xml:space="preserve"> всей экономики к «зеленой</w:t>
      </w:r>
      <w:r w:rsidR="007E381E" w:rsidRPr="00FC1B29">
        <w:t>»</w:t>
      </w:r>
      <w:r>
        <w:t xml:space="preserve"> экономике, было предложено л</w:t>
      </w:r>
      <w:r w:rsidR="00FC1B29" w:rsidRPr="00FC1B29">
        <w:t>есно</w:t>
      </w:r>
      <w:r>
        <w:t>му</w:t>
      </w:r>
      <w:r w:rsidR="00FC1B29" w:rsidRPr="00FC1B29">
        <w:t xml:space="preserve"> сектор</w:t>
      </w:r>
      <w:r>
        <w:t>у</w:t>
      </w:r>
      <w:r w:rsidR="00FC1B29" w:rsidRPr="00FC1B29">
        <w:t xml:space="preserve"> разработать методы денежной оценки лесов, </w:t>
      </w:r>
      <w:r>
        <w:t xml:space="preserve">методы оценки </w:t>
      </w:r>
      <w:r w:rsidR="00FC1B29" w:rsidRPr="00FC1B29">
        <w:t xml:space="preserve">лесных экосистемных и социальных услуг, </w:t>
      </w:r>
      <w:r>
        <w:t xml:space="preserve">методы </w:t>
      </w:r>
      <w:r w:rsidR="00FC1B29" w:rsidRPr="00FC1B29">
        <w:t>оценки роли и значимости лесов при оценках естественного капитала. Одним из подходов</w:t>
      </w:r>
      <w:r w:rsidR="00956C73">
        <w:t xml:space="preserve"> </w:t>
      </w:r>
      <w:r w:rsidR="00FC1B29" w:rsidRPr="00FC1B29">
        <w:t>может быть содействие преобразованию лесного сектора в «зеленую» экономику, которая привела бы к переходу на «зелёный путь» развития всей национальной экономики. В первую очередь лесному сектору необходимо разработать методы измерения и оценки экосистемных, социальных и культурных услуг лесов [</w:t>
      </w:r>
      <w:r w:rsidR="007E381E">
        <w:t>3</w:t>
      </w:r>
      <w:r w:rsidR="00FC1B29" w:rsidRPr="00FC1B29">
        <w:t>].</w:t>
      </w:r>
    </w:p>
    <w:p w:rsidR="00FC1B29" w:rsidRPr="00FC1B29" w:rsidRDefault="00056181" w:rsidP="008277C8">
      <w:r>
        <w:t>М</w:t>
      </w:r>
      <w:r w:rsidR="00FC1B29" w:rsidRPr="00FC1B29">
        <w:t>еждународны</w:t>
      </w:r>
      <w:r>
        <w:t>е</w:t>
      </w:r>
      <w:r w:rsidR="00FC1B29" w:rsidRPr="00FC1B29">
        <w:t xml:space="preserve"> обсуждени</w:t>
      </w:r>
      <w:r>
        <w:t>я</w:t>
      </w:r>
      <w:r w:rsidR="00FC1B29" w:rsidRPr="00FC1B29">
        <w:t xml:space="preserve"> измерений</w:t>
      </w:r>
      <w:r>
        <w:t xml:space="preserve"> продвижения к </w:t>
      </w:r>
      <w:r w:rsidR="007E381E">
        <w:t>«</w:t>
      </w:r>
      <w:r>
        <w:t>зелёной</w:t>
      </w:r>
      <w:r w:rsidR="007E381E">
        <w:t>»</w:t>
      </w:r>
      <w:r>
        <w:t xml:space="preserve"> экономике</w:t>
      </w:r>
      <w:r w:rsidR="00FC1B29" w:rsidRPr="00FC1B29">
        <w:t xml:space="preserve"> зачастую </w:t>
      </w:r>
      <w:r>
        <w:t xml:space="preserve">подменяются сведениями от </w:t>
      </w:r>
      <w:r w:rsidR="00FC1B29" w:rsidRPr="00FC1B29">
        <w:t>статистически</w:t>
      </w:r>
      <w:r>
        <w:t>х служб</w:t>
      </w:r>
      <w:r w:rsidR="00FC1B29" w:rsidRPr="00FC1B29">
        <w:t xml:space="preserve"> и министерств окружающей среды</w:t>
      </w:r>
      <w:r>
        <w:t xml:space="preserve">. Дело в том, что </w:t>
      </w:r>
      <w:r w:rsidR="00FC245B">
        <w:t xml:space="preserve">вопросы </w:t>
      </w:r>
      <w:r>
        <w:t>лес</w:t>
      </w:r>
      <w:r w:rsidR="00FC245B">
        <w:t>ов</w:t>
      </w:r>
      <w:r>
        <w:t xml:space="preserve"> и </w:t>
      </w:r>
      <w:r w:rsidR="00FC1B29" w:rsidRPr="00FC1B29">
        <w:t>лесны</w:t>
      </w:r>
      <w:r w:rsidR="00FC245B">
        <w:t>х</w:t>
      </w:r>
      <w:r w:rsidR="00FC1B29" w:rsidRPr="00FC1B29">
        <w:t xml:space="preserve"> ресурс</w:t>
      </w:r>
      <w:r w:rsidR="00FC245B">
        <w:t>ов</w:t>
      </w:r>
      <w:r w:rsidR="00FC1B29" w:rsidRPr="00FC1B29">
        <w:t xml:space="preserve"> не всегда </w:t>
      </w:r>
      <w:r>
        <w:t xml:space="preserve">и не в полной мере </w:t>
      </w:r>
      <w:r w:rsidR="00FC1B29" w:rsidRPr="00FC1B29">
        <w:t>покрываются этими министерствами,</w:t>
      </w:r>
      <w:r w:rsidR="00FC245B">
        <w:t xml:space="preserve"> и </w:t>
      </w:r>
      <w:r w:rsidR="00FC1B29" w:rsidRPr="00FC1B29">
        <w:t xml:space="preserve">представители правительств, </w:t>
      </w:r>
      <w:r w:rsidR="00FC245B">
        <w:t>как правило</w:t>
      </w:r>
      <w:r w:rsidR="007E381E">
        <w:t>,</w:t>
      </w:r>
      <w:r w:rsidR="00FC245B">
        <w:t xml:space="preserve"> не вовлечены в этот процесс и никто сейчас не может оценить</w:t>
      </w:r>
      <w:r w:rsidR="00FC1B29" w:rsidRPr="00FC1B29">
        <w:t xml:space="preserve"> роль экологического учета и экономичных систем измерения </w:t>
      </w:r>
      <w:r w:rsidR="00FC245B">
        <w:t xml:space="preserve">в области </w:t>
      </w:r>
      <w:r w:rsidR="007E381E">
        <w:t>«</w:t>
      </w:r>
      <w:r w:rsidR="00FC245B">
        <w:t>зелёной</w:t>
      </w:r>
      <w:r w:rsidR="007E381E">
        <w:t>»</w:t>
      </w:r>
      <w:r w:rsidR="00FC245B">
        <w:t xml:space="preserve"> экономики </w:t>
      </w:r>
      <w:r w:rsidR="00FC1B29" w:rsidRPr="00FC1B29">
        <w:t>в контексте систем отчетности об устойчивом развитии [</w:t>
      </w:r>
      <w:r w:rsidR="007E381E">
        <w:t>3</w:t>
      </w:r>
      <w:r w:rsidR="00FC1B29" w:rsidRPr="00FC1B29">
        <w:t>].</w:t>
      </w:r>
      <w:r w:rsidR="00956C73">
        <w:t xml:space="preserve"> </w:t>
      </w:r>
    </w:p>
    <w:p w:rsidR="00FC1B29" w:rsidRPr="00FC1B29" w:rsidRDefault="00FC1B29" w:rsidP="008277C8">
      <w:r w:rsidRPr="00FC1B29">
        <w:t>Существует совпадение между методологиями измерения «зеленой</w:t>
      </w:r>
      <w:r w:rsidR="007E381E" w:rsidRPr="00FC1B29">
        <w:t>»</w:t>
      </w:r>
      <w:r w:rsidRPr="00FC1B29">
        <w:t xml:space="preserve"> экономики и Целями устойчивого развития, принятыми ООН, но взаимодействие между ними должно быть дополнительно изучено. В последнее время наблюдается тенденция уделять больше внимания более глубокому секторальному анализу в </w:t>
      </w:r>
      <w:r w:rsidR="007E381E">
        <w:t>«</w:t>
      </w:r>
      <w:r w:rsidRPr="00FC1B29">
        <w:t>зеленой</w:t>
      </w:r>
      <w:r w:rsidR="007E381E">
        <w:t>»</w:t>
      </w:r>
      <w:r w:rsidRPr="00FC1B29">
        <w:t xml:space="preserve"> экономике, это отмечено в Повестке дня до 20</w:t>
      </w:r>
      <w:r w:rsidR="007E381E">
        <w:t>30</w:t>
      </w:r>
      <w:r w:rsidRPr="00FC1B29">
        <w:t xml:space="preserve"> года [</w:t>
      </w:r>
      <w:r w:rsidR="007E381E">
        <w:rPr>
          <w:iCs/>
        </w:rPr>
        <w:t>4</w:t>
      </w:r>
      <w:r w:rsidRPr="00FC1B29">
        <w:t xml:space="preserve">]. </w:t>
      </w:r>
    </w:p>
    <w:p w:rsidR="00FC1B29" w:rsidRPr="00FC1B29" w:rsidRDefault="00FC1B29" w:rsidP="008277C8">
      <w:r w:rsidRPr="00FC1B29">
        <w:t xml:space="preserve">В этой связи </w:t>
      </w:r>
      <w:r w:rsidR="007E381E">
        <w:t>СЭЭУ</w:t>
      </w:r>
      <w:r w:rsidRPr="00FC1B29">
        <w:t xml:space="preserve"> являются ключом к разработке методологий измерения прогресса развития </w:t>
      </w:r>
      <w:r w:rsidR="007E381E">
        <w:t>«</w:t>
      </w:r>
      <w:r w:rsidRPr="00FC1B29">
        <w:t>зелёной</w:t>
      </w:r>
      <w:r w:rsidR="007E381E">
        <w:t>»</w:t>
      </w:r>
      <w:r w:rsidRPr="00FC1B29">
        <w:t xml:space="preserve"> экономике в лесном секторе. Индикаторы должны использоваться для решения этих вопросов лесной политики, они должны сосредоточиться на политических процессах, а не на конкретных показателях, определять их на пути определения проблем и понимать их причины и влияние на них политических инструментов управления лесным сектором. Важно понимать, как будет использоваться отчетность о прогрессе </w:t>
      </w:r>
      <w:r w:rsidR="007E381E">
        <w:t>«</w:t>
      </w:r>
      <w:r w:rsidRPr="00FC1B29">
        <w:t>зелёной</w:t>
      </w:r>
      <w:r w:rsidR="007E381E">
        <w:t>»</w:t>
      </w:r>
      <w:r w:rsidRPr="00FC1B29">
        <w:t xml:space="preserve"> экономики в лесном секторе, в чем цель этой отчётности, кто и как будет её использовать. Поэтому необходимо разработать дорожную карту для межведомственной работы в этой области, поскольку существует ряд проблем, которые требуют внимания экспертов с глобальной и секторальной точки зрения на тему измерения прогресса в направлении «зеленой» экономики и развития СЭЭУ [</w:t>
      </w:r>
      <w:r w:rsidR="00B26887">
        <w:t>3</w:t>
      </w:r>
      <w:r w:rsidRPr="00FC1B29">
        <w:t>].</w:t>
      </w:r>
    </w:p>
    <w:p w:rsidR="00FC1B29" w:rsidRDefault="00FC1B29" w:rsidP="008277C8">
      <w:r w:rsidRPr="00FC1B29">
        <w:t>Как отметил Кит Принс в своём докладе на семинаре в Женеве [</w:t>
      </w:r>
      <w:r w:rsidR="00B26887">
        <w:t>3</w:t>
      </w:r>
      <w:r w:rsidRPr="00FC1B29">
        <w:t>] в мировом лесном секторе ведётся успешная работа по критериям и показателям устойчивого лесопользования. Для дальнейшего обсуждения вопросов координации лесохозяйственной работы с международной работой по измерению «зеленой</w:t>
      </w:r>
      <w:r w:rsidR="00B26887" w:rsidRPr="00FC1B29">
        <w:t>»</w:t>
      </w:r>
      <w:r w:rsidRPr="00FC1B29">
        <w:t xml:space="preserve"> экономики в его докладе был представлен</w:t>
      </w:r>
      <w:r w:rsidR="00956C73">
        <w:t xml:space="preserve"> </w:t>
      </w:r>
      <w:r w:rsidRPr="00FC1B29">
        <w:t>новый подход к измерению прогресса лесного сектора в направлении «зеленой» экономики на основе существующих индикаторов и показателей устойчивого управления лесами, поддерживаемыми ОЭСР [</w:t>
      </w:r>
      <w:r w:rsidR="00B26887">
        <w:t>11</w:t>
      </w:r>
      <w:r w:rsidRPr="00FC1B29">
        <w:t xml:space="preserve">] в соответствии с тематическими направлениями «Плана действий Рованиеми». </w:t>
      </w:r>
    </w:p>
    <w:p w:rsidR="008277C8" w:rsidRDefault="008277C8" w:rsidP="008277C8"/>
    <w:p w:rsidR="00FD4D42" w:rsidRPr="008277C8" w:rsidRDefault="00B26887" w:rsidP="008277C8">
      <w:pPr>
        <w:jc w:val="center"/>
        <w:rPr>
          <w:b/>
          <w:lang w:bidi="ru-RU"/>
        </w:rPr>
      </w:pPr>
      <w:r>
        <w:rPr>
          <w:b/>
          <w:lang w:bidi="ru-RU"/>
        </w:rPr>
        <w:t>Литература</w:t>
      </w:r>
    </w:p>
    <w:p w:rsidR="00B26887" w:rsidRPr="001358B0" w:rsidRDefault="00B26887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  <w:lang w:val="en-US"/>
        </w:rPr>
      </w:pPr>
      <w:r w:rsidRPr="001358B0">
        <w:rPr>
          <w:rFonts w:cs="Times New Roman"/>
          <w:iCs/>
          <w:sz w:val="22"/>
          <w:lang w:val="en-US"/>
        </w:rPr>
        <w:t xml:space="preserve">Towards a Green Economy: Pathways to Sustainable Development and Poverty Eradication. – UNEP, 2011. </w:t>
      </w:r>
      <w:r w:rsidRPr="001358B0">
        <w:rPr>
          <w:rFonts w:cs="Times New Roman"/>
          <w:bCs/>
          <w:iCs/>
          <w:sz w:val="22"/>
          <w:lang w:val="en-US"/>
        </w:rPr>
        <w:t>–</w:t>
      </w:r>
      <w:r w:rsidRPr="001358B0">
        <w:rPr>
          <w:rFonts w:cs="Times New Roman"/>
          <w:bCs/>
          <w:iCs/>
          <w:sz w:val="22"/>
          <w:lang w:val="en-US" w:bidi="ru-RU"/>
        </w:rPr>
        <w:t xml:space="preserve"> </w:t>
      </w:r>
      <w:r w:rsidRPr="001358B0">
        <w:rPr>
          <w:rFonts w:cs="Times New Roman"/>
          <w:bCs/>
          <w:iCs/>
          <w:sz w:val="22"/>
          <w:lang w:val="en-US"/>
        </w:rPr>
        <w:t>631</w:t>
      </w:r>
      <w:r w:rsidRPr="001358B0">
        <w:rPr>
          <w:rFonts w:cs="Times New Roman"/>
          <w:iCs/>
          <w:sz w:val="22"/>
          <w:lang w:val="en-US"/>
        </w:rPr>
        <w:t xml:space="preserve"> p.</w:t>
      </w:r>
      <w:r w:rsidRPr="001358B0">
        <w:rPr>
          <w:rFonts w:cs="Times New Roman"/>
          <w:bCs/>
          <w:iCs/>
          <w:sz w:val="22"/>
          <w:lang w:val="en-US"/>
        </w:rPr>
        <w:t xml:space="preserve"> </w:t>
      </w:r>
      <w:r w:rsidR="005342B9">
        <w:rPr>
          <w:rFonts w:cs="Times New Roman"/>
          <w:bCs/>
          <w:iCs/>
          <w:sz w:val="22"/>
          <w:lang w:val="en-US"/>
        </w:rPr>
        <w:t>URL</w:t>
      </w:r>
      <w:r w:rsidR="005342B9" w:rsidRPr="005342B9">
        <w:rPr>
          <w:rFonts w:cs="Times New Roman"/>
          <w:bCs/>
          <w:iCs/>
          <w:sz w:val="22"/>
          <w:lang w:val="en-US"/>
        </w:rPr>
        <w:t xml:space="preserve">: </w:t>
      </w:r>
      <w:r w:rsidRPr="001358B0">
        <w:rPr>
          <w:rFonts w:cs="Times New Roman"/>
          <w:bCs/>
          <w:iCs/>
          <w:sz w:val="22"/>
          <w:lang w:val="en-US"/>
        </w:rPr>
        <w:t>www.unep.org/greeneconomy.</w:t>
      </w:r>
    </w:p>
    <w:p w:rsidR="00B26887" w:rsidRPr="001358B0" w:rsidRDefault="00B26887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  <w:lang w:val="en-US"/>
        </w:rPr>
      </w:pPr>
      <w:r w:rsidRPr="001358B0">
        <w:rPr>
          <w:rFonts w:cs="Times New Roman"/>
          <w:sz w:val="22"/>
          <w:lang w:val="en-US"/>
        </w:rPr>
        <w:t xml:space="preserve">Report of the joint seventy-first session of the Committee on Forests and the Forest Industry and thirty-seventh session of the European Forestry Commission </w:t>
      </w:r>
      <w:r w:rsidR="005342B9" w:rsidRPr="005342B9">
        <w:rPr>
          <w:rFonts w:cs="Times New Roman"/>
          <w:sz w:val="22"/>
          <w:lang w:val="en-US"/>
        </w:rPr>
        <w:t>(</w:t>
      </w:r>
      <w:r w:rsidRPr="001358B0">
        <w:rPr>
          <w:rFonts w:cs="Times New Roman"/>
          <w:sz w:val="22"/>
          <w:lang w:val="en-US"/>
        </w:rPr>
        <w:t>Rovaniemi, 9-13 December 2013</w:t>
      </w:r>
      <w:r w:rsidR="005342B9" w:rsidRPr="005342B9">
        <w:rPr>
          <w:rFonts w:cs="Times New Roman"/>
          <w:sz w:val="22"/>
          <w:lang w:val="en-US"/>
        </w:rPr>
        <w:t>)</w:t>
      </w:r>
      <w:r w:rsidRPr="001358B0">
        <w:rPr>
          <w:rFonts w:cs="Times New Roman"/>
          <w:sz w:val="22"/>
          <w:lang w:val="en-US"/>
        </w:rPr>
        <w:t>. – ECE UN, FAO, Economic and Social Council United Nations, 2013. – 82 p.</w:t>
      </w:r>
    </w:p>
    <w:p w:rsidR="00B26887" w:rsidRPr="001358B0" w:rsidRDefault="00B26887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iCs/>
          <w:sz w:val="22"/>
          <w:lang w:val="en-US" w:bidi="en-US"/>
        </w:rPr>
      </w:pPr>
      <w:r w:rsidRPr="001358B0">
        <w:rPr>
          <w:rFonts w:cs="Times New Roman"/>
          <w:sz w:val="22"/>
          <w:lang w:val="en-US" w:bidi="en-US"/>
        </w:rPr>
        <w:t xml:space="preserve">Measuring the Value of Forests in a Green Economy. </w:t>
      </w:r>
      <w:r w:rsidRPr="001358B0">
        <w:rPr>
          <w:rFonts w:cs="Times New Roman"/>
          <w:iCs/>
          <w:sz w:val="22"/>
          <w:lang w:val="en-US" w:bidi="en-US"/>
        </w:rPr>
        <w:t xml:space="preserve">Report from the expert workshop on 21 October 2016. – UNECE &amp; FAO, 2016. – </w:t>
      </w:r>
      <w:r w:rsidRPr="001358B0">
        <w:rPr>
          <w:rFonts w:cs="Times New Roman"/>
          <w:iCs/>
          <w:sz w:val="22"/>
          <w:lang w:val="en-US"/>
        </w:rPr>
        <w:t xml:space="preserve">18 </w:t>
      </w:r>
      <w:r w:rsidRPr="001358B0">
        <w:rPr>
          <w:rFonts w:cs="Times New Roman"/>
          <w:iCs/>
          <w:sz w:val="22"/>
          <w:lang w:val="en-US" w:bidi="en-US"/>
        </w:rPr>
        <w:t>p.</w:t>
      </w:r>
    </w:p>
    <w:p w:rsidR="00FD4D42" w:rsidRPr="001358B0" w:rsidRDefault="00FD4D42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  <w:lang w:bidi="ru-RU"/>
        </w:rPr>
      </w:pPr>
      <w:r w:rsidRPr="001358B0">
        <w:rPr>
          <w:rFonts w:cs="Times New Roman"/>
          <w:iCs/>
          <w:sz w:val="22"/>
          <w:lang w:bidi="ru-RU"/>
        </w:rPr>
        <w:t xml:space="preserve">Преобразование нашего мира: Повестка дня в области устойчивого развития на период до 2030 года.- Резолюция </w:t>
      </w:r>
      <w:r w:rsidR="003E1FAF" w:rsidRPr="001358B0">
        <w:rPr>
          <w:rFonts w:cs="Times New Roman"/>
          <w:iCs/>
          <w:sz w:val="22"/>
          <w:lang w:bidi="ru-RU"/>
        </w:rPr>
        <w:t>70-й</w:t>
      </w:r>
      <w:r w:rsidRPr="001358B0">
        <w:rPr>
          <w:rFonts w:cs="Times New Roman"/>
          <w:iCs/>
          <w:sz w:val="22"/>
          <w:lang w:bidi="ru-RU"/>
        </w:rPr>
        <w:t xml:space="preserve"> сессии Ген</w:t>
      </w:r>
      <w:r w:rsidR="003E1FAF" w:rsidRPr="001358B0">
        <w:rPr>
          <w:rFonts w:cs="Times New Roman"/>
          <w:iCs/>
          <w:sz w:val="22"/>
          <w:lang w:bidi="ru-RU"/>
        </w:rPr>
        <w:t>а</w:t>
      </w:r>
      <w:r w:rsidRPr="001358B0">
        <w:rPr>
          <w:rFonts w:cs="Times New Roman"/>
          <w:iCs/>
          <w:sz w:val="22"/>
          <w:lang w:bidi="ru-RU"/>
        </w:rPr>
        <w:t>ссамблеи ОО</w:t>
      </w:r>
      <w:r w:rsidR="00B26887" w:rsidRPr="001358B0">
        <w:rPr>
          <w:rFonts w:cs="Times New Roman"/>
          <w:iCs/>
          <w:sz w:val="22"/>
          <w:lang w:bidi="ru-RU"/>
        </w:rPr>
        <w:t>Н.</w:t>
      </w:r>
      <w:r w:rsidR="003E1FAF" w:rsidRPr="001358B0">
        <w:rPr>
          <w:rFonts w:cs="Times New Roman"/>
          <w:iCs/>
          <w:sz w:val="22"/>
          <w:lang w:bidi="ru-RU"/>
        </w:rPr>
        <w:t xml:space="preserve"> –</w:t>
      </w:r>
      <w:r w:rsidR="00B26887" w:rsidRPr="001358B0">
        <w:rPr>
          <w:rFonts w:cs="Times New Roman"/>
          <w:iCs/>
          <w:sz w:val="22"/>
          <w:lang w:bidi="ru-RU"/>
        </w:rPr>
        <w:t xml:space="preserve"> Нью-Йорк</w:t>
      </w:r>
      <w:r w:rsidR="005342B9">
        <w:rPr>
          <w:rFonts w:cs="Times New Roman"/>
          <w:iCs/>
          <w:sz w:val="22"/>
          <w:lang w:bidi="ru-RU"/>
        </w:rPr>
        <w:t>:</w:t>
      </w:r>
      <w:r w:rsidR="00B26887" w:rsidRPr="001358B0">
        <w:rPr>
          <w:rFonts w:cs="Times New Roman"/>
          <w:iCs/>
          <w:sz w:val="22"/>
          <w:lang w:bidi="ru-RU"/>
        </w:rPr>
        <w:t xml:space="preserve"> ООН, 2015.</w:t>
      </w:r>
      <w:r w:rsidR="003E1FAF" w:rsidRPr="001358B0">
        <w:rPr>
          <w:rFonts w:cs="Times New Roman"/>
          <w:iCs/>
          <w:sz w:val="22"/>
          <w:lang w:bidi="ru-RU"/>
        </w:rPr>
        <w:t xml:space="preserve"> –</w:t>
      </w:r>
      <w:r w:rsidR="00B26887" w:rsidRPr="001358B0">
        <w:rPr>
          <w:rFonts w:cs="Times New Roman"/>
          <w:iCs/>
          <w:sz w:val="22"/>
          <w:lang w:bidi="ru-RU"/>
        </w:rPr>
        <w:t xml:space="preserve"> 45 с.</w:t>
      </w:r>
    </w:p>
    <w:p w:rsidR="008466A1" w:rsidRPr="001358B0" w:rsidRDefault="008466A1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</w:rPr>
      </w:pPr>
      <w:r w:rsidRPr="001358B0">
        <w:rPr>
          <w:rFonts w:cs="Times New Roman"/>
          <w:sz w:val="22"/>
        </w:rPr>
        <w:t>Сендайская рамочная программа по снижению риска бедствий на 2015</w:t>
      </w:r>
      <w:r w:rsidR="003E1FAF" w:rsidRPr="001358B0">
        <w:rPr>
          <w:rFonts w:cs="Times New Roman"/>
          <w:sz w:val="22"/>
        </w:rPr>
        <w:t>-</w:t>
      </w:r>
      <w:r w:rsidRPr="001358B0">
        <w:rPr>
          <w:rFonts w:cs="Times New Roman"/>
          <w:sz w:val="22"/>
        </w:rPr>
        <w:t>2030 гг.</w:t>
      </w:r>
      <w:r w:rsidR="003E1FAF" w:rsidRPr="001358B0">
        <w:rPr>
          <w:rFonts w:cs="Times New Roman"/>
          <w:sz w:val="22"/>
        </w:rPr>
        <w:t xml:space="preserve"> –</w:t>
      </w:r>
      <w:r w:rsidRPr="001358B0">
        <w:rPr>
          <w:rFonts w:cs="Times New Roman"/>
          <w:sz w:val="22"/>
        </w:rPr>
        <w:t xml:space="preserve"> </w:t>
      </w:r>
      <w:r w:rsidR="003E1FAF" w:rsidRPr="001358B0">
        <w:rPr>
          <w:rFonts w:cs="Times New Roman"/>
          <w:sz w:val="22"/>
        </w:rPr>
        <w:t xml:space="preserve">Принята </w:t>
      </w:r>
      <w:r w:rsidRPr="001358B0">
        <w:rPr>
          <w:rFonts w:cs="Times New Roman"/>
          <w:sz w:val="22"/>
        </w:rPr>
        <w:t>на Третьей Всемирной конференции в Сендае (Япония) 18 марта 2015 г.</w:t>
      </w:r>
      <w:r w:rsidR="003E1FAF" w:rsidRPr="001358B0">
        <w:rPr>
          <w:rFonts w:cs="Times New Roman"/>
          <w:sz w:val="22"/>
        </w:rPr>
        <w:t xml:space="preserve"> –</w:t>
      </w:r>
      <w:r w:rsidRPr="001358B0">
        <w:rPr>
          <w:rFonts w:cs="Times New Roman"/>
          <w:sz w:val="22"/>
        </w:rPr>
        <w:t xml:space="preserve"> </w:t>
      </w:r>
      <w:r w:rsidRPr="001358B0">
        <w:rPr>
          <w:rFonts w:cs="Times New Roman"/>
          <w:sz w:val="22"/>
          <w:lang w:val="en-US"/>
        </w:rPr>
        <w:t>United</w:t>
      </w:r>
      <w:r w:rsidRPr="001358B0">
        <w:rPr>
          <w:rFonts w:cs="Times New Roman"/>
          <w:sz w:val="22"/>
        </w:rPr>
        <w:t xml:space="preserve"> </w:t>
      </w:r>
      <w:r w:rsidRPr="001358B0">
        <w:rPr>
          <w:rFonts w:cs="Times New Roman"/>
          <w:sz w:val="22"/>
          <w:lang w:val="en-US"/>
        </w:rPr>
        <w:t>Nations</w:t>
      </w:r>
      <w:r w:rsidR="003E1FAF" w:rsidRPr="001358B0">
        <w:rPr>
          <w:rFonts w:cs="Times New Roman"/>
          <w:sz w:val="22"/>
        </w:rPr>
        <w:t>,</w:t>
      </w:r>
      <w:r w:rsidRPr="001358B0">
        <w:rPr>
          <w:rFonts w:cs="Times New Roman"/>
          <w:sz w:val="22"/>
        </w:rPr>
        <w:t xml:space="preserve"> 2015.</w:t>
      </w:r>
      <w:r w:rsidR="003E1FAF" w:rsidRPr="001358B0">
        <w:rPr>
          <w:rFonts w:cs="Times New Roman"/>
          <w:sz w:val="22"/>
        </w:rPr>
        <w:t xml:space="preserve"> –</w:t>
      </w:r>
      <w:r w:rsidRPr="001358B0">
        <w:rPr>
          <w:rFonts w:cs="Times New Roman"/>
          <w:sz w:val="22"/>
        </w:rPr>
        <w:t xml:space="preserve"> </w:t>
      </w:r>
      <w:r w:rsidR="00B26887" w:rsidRPr="001358B0">
        <w:rPr>
          <w:rFonts w:cs="Times New Roman"/>
          <w:sz w:val="22"/>
        </w:rPr>
        <w:t xml:space="preserve">40 </w:t>
      </w:r>
      <w:r w:rsidR="00B26887" w:rsidRPr="001358B0">
        <w:rPr>
          <w:rFonts w:cs="Times New Roman"/>
          <w:sz w:val="22"/>
          <w:lang w:val="en-US"/>
        </w:rPr>
        <w:t>p</w:t>
      </w:r>
      <w:r w:rsidR="00B26887" w:rsidRPr="001358B0">
        <w:rPr>
          <w:rFonts w:cs="Times New Roman"/>
          <w:sz w:val="22"/>
        </w:rPr>
        <w:t>.</w:t>
      </w:r>
    </w:p>
    <w:p w:rsidR="005E7B71" w:rsidRPr="001358B0" w:rsidRDefault="005E7B71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</w:rPr>
      </w:pPr>
      <w:r w:rsidRPr="001358B0">
        <w:rPr>
          <w:rFonts w:cs="Times New Roman"/>
          <w:sz w:val="22"/>
        </w:rPr>
        <w:lastRenderedPageBreak/>
        <w:t>Парижское соглаш</w:t>
      </w:r>
      <w:r w:rsidR="00307C47" w:rsidRPr="001358B0">
        <w:rPr>
          <w:rFonts w:cs="Times New Roman"/>
          <w:sz w:val="22"/>
        </w:rPr>
        <w:t>ение –</w:t>
      </w:r>
      <w:r w:rsidRPr="001358B0">
        <w:rPr>
          <w:rFonts w:cs="Times New Roman"/>
          <w:sz w:val="22"/>
        </w:rPr>
        <w:t xml:space="preserve"> </w:t>
      </w:r>
      <w:r w:rsidR="00307C47" w:rsidRPr="001358B0">
        <w:rPr>
          <w:rFonts w:cs="Times New Roman"/>
          <w:sz w:val="22"/>
        </w:rPr>
        <w:t xml:space="preserve">Принято </w:t>
      </w:r>
      <w:r w:rsidRPr="001358B0">
        <w:rPr>
          <w:rFonts w:cs="Times New Roman"/>
          <w:sz w:val="22"/>
        </w:rPr>
        <w:t>консенсусом на Конференции ООН по климату в Париже</w:t>
      </w:r>
      <w:r w:rsidR="00956C73" w:rsidRPr="001358B0">
        <w:rPr>
          <w:rFonts w:cs="Times New Roman"/>
          <w:sz w:val="22"/>
        </w:rPr>
        <w:t xml:space="preserve"> </w:t>
      </w:r>
      <w:r w:rsidRPr="001358B0">
        <w:rPr>
          <w:rFonts w:cs="Times New Roman"/>
          <w:sz w:val="22"/>
        </w:rPr>
        <w:t>12 декабря 2015 г</w:t>
      </w:r>
      <w:r w:rsidR="00307C47" w:rsidRPr="001358B0">
        <w:rPr>
          <w:rFonts w:cs="Times New Roman"/>
          <w:sz w:val="22"/>
        </w:rPr>
        <w:t>.</w:t>
      </w:r>
      <w:r w:rsidRPr="001358B0">
        <w:rPr>
          <w:rFonts w:cs="Times New Roman"/>
          <w:sz w:val="22"/>
        </w:rPr>
        <w:t>, и подписано 22 апреля 2016 г.</w:t>
      </w:r>
      <w:r w:rsidR="00307C47" w:rsidRPr="001358B0">
        <w:rPr>
          <w:rFonts w:cs="Times New Roman"/>
          <w:sz w:val="22"/>
        </w:rPr>
        <w:t xml:space="preserve"> –</w:t>
      </w:r>
      <w:r w:rsidRPr="001358B0">
        <w:rPr>
          <w:rFonts w:cs="Times New Roman"/>
          <w:sz w:val="22"/>
        </w:rPr>
        <w:t xml:space="preserve"> </w:t>
      </w:r>
      <w:r w:rsidR="005342B9">
        <w:rPr>
          <w:rFonts w:cs="Times New Roman"/>
          <w:sz w:val="22"/>
        </w:rPr>
        <w:t xml:space="preserve">Париж: </w:t>
      </w:r>
      <w:r w:rsidR="00B26887" w:rsidRPr="001358B0">
        <w:rPr>
          <w:rFonts w:cs="Times New Roman"/>
          <w:sz w:val="22"/>
        </w:rPr>
        <w:t>ООН.</w:t>
      </w:r>
      <w:r w:rsidR="00307C47" w:rsidRPr="001358B0">
        <w:rPr>
          <w:rFonts w:cs="Times New Roman"/>
          <w:sz w:val="22"/>
        </w:rPr>
        <w:t xml:space="preserve"> –</w:t>
      </w:r>
      <w:r w:rsidR="00B26887" w:rsidRPr="001358B0">
        <w:rPr>
          <w:rFonts w:cs="Times New Roman"/>
          <w:sz w:val="22"/>
        </w:rPr>
        <w:t xml:space="preserve"> 19 с.</w:t>
      </w:r>
    </w:p>
    <w:p w:rsidR="00307C47" w:rsidRPr="001358B0" w:rsidRDefault="00307C47" w:rsidP="00307C4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iCs/>
          <w:sz w:val="22"/>
          <w:lang w:val="en-US" w:bidi="en-US"/>
        </w:rPr>
      </w:pPr>
      <w:r w:rsidRPr="001358B0">
        <w:rPr>
          <w:rFonts w:cs="Times New Roman"/>
          <w:sz w:val="22"/>
          <w:lang w:val="en-US" w:bidi="en-US"/>
        </w:rPr>
        <w:t>Creating value for all: strategies for doing business with the poor. – New York</w:t>
      </w:r>
      <w:r w:rsidR="005342B9" w:rsidRPr="005342B9">
        <w:rPr>
          <w:rFonts w:cs="Times New Roman"/>
          <w:sz w:val="22"/>
          <w:lang w:val="en-US" w:bidi="en-US"/>
        </w:rPr>
        <w:t>:</w:t>
      </w:r>
      <w:r w:rsidRPr="001358B0">
        <w:rPr>
          <w:rFonts w:cs="Times New Roman"/>
          <w:sz w:val="22"/>
          <w:lang w:val="en-US" w:bidi="en-US"/>
        </w:rPr>
        <w:t xml:space="preserve"> </w:t>
      </w:r>
      <w:r w:rsidR="005342B9" w:rsidRPr="001358B0">
        <w:rPr>
          <w:rFonts w:cs="Times New Roman"/>
          <w:sz w:val="22"/>
          <w:lang w:val="en-US" w:bidi="en-US"/>
        </w:rPr>
        <w:t>UNDP</w:t>
      </w:r>
      <w:r w:rsidRPr="001358B0">
        <w:rPr>
          <w:rFonts w:cs="Times New Roman"/>
          <w:sz w:val="22"/>
          <w:lang w:val="en-US" w:bidi="en-US"/>
        </w:rPr>
        <w:t>, 2008. – 32 p.</w:t>
      </w:r>
    </w:p>
    <w:p w:rsidR="00307C47" w:rsidRPr="001358B0" w:rsidRDefault="00367AEF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  <w:lang w:val="en-US"/>
        </w:rPr>
      </w:pPr>
      <w:r w:rsidRPr="001358B0">
        <w:rPr>
          <w:rFonts w:cs="Times New Roman"/>
          <w:sz w:val="22"/>
          <w:lang w:val="en-US"/>
        </w:rPr>
        <w:t>Michelini</w:t>
      </w:r>
      <w:r w:rsidR="00307C47" w:rsidRPr="001358B0">
        <w:rPr>
          <w:rFonts w:cs="Times New Roman"/>
          <w:sz w:val="22"/>
          <w:lang w:val="en-US"/>
        </w:rPr>
        <w:t xml:space="preserve"> L</w:t>
      </w:r>
      <w:r w:rsidRPr="001358B0">
        <w:rPr>
          <w:rFonts w:cs="Times New Roman"/>
          <w:sz w:val="22"/>
          <w:lang w:val="en-US"/>
        </w:rPr>
        <w:t>. Social Innovation and New Business Models. Creating Shared Value in Low-Income Markets.</w:t>
      </w:r>
      <w:r w:rsidR="00307C47" w:rsidRPr="001358B0">
        <w:rPr>
          <w:rFonts w:cs="Times New Roman"/>
          <w:sz w:val="22"/>
          <w:lang w:val="en-US"/>
        </w:rPr>
        <w:t xml:space="preserve"> –</w:t>
      </w:r>
      <w:r w:rsidRPr="001358B0">
        <w:rPr>
          <w:rFonts w:cs="Times New Roman"/>
          <w:sz w:val="22"/>
          <w:lang w:val="en-US"/>
        </w:rPr>
        <w:t xml:space="preserve"> Publ</w:t>
      </w:r>
      <w:r w:rsidR="00307C47" w:rsidRPr="001358B0">
        <w:rPr>
          <w:rFonts w:cs="Times New Roman"/>
          <w:sz w:val="22"/>
          <w:lang w:val="en-US"/>
        </w:rPr>
        <w:t>.</w:t>
      </w:r>
      <w:r w:rsidRPr="001358B0">
        <w:rPr>
          <w:rFonts w:cs="Times New Roman"/>
          <w:sz w:val="22"/>
          <w:lang w:val="en-US"/>
        </w:rPr>
        <w:t>: Springer (Series: SpringerBriefs in Business); August 7, 2012.</w:t>
      </w:r>
      <w:r w:rsidR="00307C47" w:rsidRPr="001358B0">
        <w:rPr>
          <w:rFonts w:cs="Times New Roman"/>
          <w:sz w:val="22"/>
          <w:lang w:val="en-US"/>
        </w:rPr>
        <w:t xml:space="preserve"> –</w:t>
      </w:r>
      <w:r w:rsidRPr="001358B0">
        <w:rPr>
          <w:rFonts w:cs="Times New Roman"/>
          <w:sz w:val="22"/>
          <w:lang w:val="en-US"/>
        </w:rPr>
        <w:t xml:space="preserve"> 80 p.; D</w:t>
      </w:r>
      <w:r w:rsidR="00307C47" w:rsidRPr="001358B0">
        <w:rPr>
          <w:rFonts w:cs="Times New Roman"/>
          <w:sz w:val="22"/>
          <w:lang w:val="en-US"/>
        </w:rPr>
        <w:t>OI: 10.1007/978-3-642-32150-4_2.</w:t>
      </w:r>
    </w:p>
    <w:p w:rsidR="00FD4D42" w:rsidRPr="001358B0" w:rsidRDefault="00FD4D42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  <w:lang w:val="en-US"/>
        </w:rPr>
      </w:pPr>
      <w:r w:rsidRPr="001358B0">
        <w:rPr>
          <w:rFonts w:cs="Times New Roman"/>
          <w:sz w:val="22"/>
          <w:lang w:val="en-US"/>
        </w:rPr>
        <w:t xml:space="preserve">Towards Green Growth: Monitoring Progress </w:t>
      </w:r>
      <w:r w:rsidR="00307C47" w:rsidRPr="001358B0">
        <w:rPr>
          <w:rFonts w:cs="Times New Roman"/>
          <w:sz w:val="22"/>
          <w:lang w:val="en-US"/>
        </w:rPr>
        <w:t>–</w:t>
      </w:r>
      <w:r w:rsidRPr="001358B0">
        <w:rPr>
          <w:rFonts w:cs="Times New Roman"/>
          <w:sz w:val="22"/>
          <w:lang w:val="en-US"/>
        </w:rPr>
        <w:t xml:space="preserve"> OECD Indicators. </w:t>
      </w:r>
      <w:r w:rsidR="00307C47" w:rsidRPr="001358B0">
        <w:rPr>
          <w:rFonts w:cs="Times New Roman"/>
          <w:sz w:val="22"/>
          <w:lang w:val="en-US"/>
        </w:rPr>
        <w:t>–</w:t>
      </w:r>
      <w:r w:rsidR="005342B9">
        <w:rPr>
          <w:rFonts w:cs="Times New Roman"/>
          <w:sz w:val="22"/>
          <w:lang w:val="en-US"/>
        </w:rPr>
        <w:t xml:space="preserve"> Paris</w:t>
      </w:r>
      <w:r w:rsidRPr="001358B0">
        <w:rPr>
          <w:rFonts w:cs="Times New Roman"/>
          <w:sz w:val="22"/>
          <w:lang w:val="en-US"/>
        </w:rPr>
        <w:t xml:space="preserve">: </w:t>
      </w:r>
      <w:r w:rsidR="00307C47" w:rsidRPr="001358B0">
        <w:rPr>
          <w:rFonts w:cs="Times New Roman"/>
          <w:sz w:val="22"/>
          <w:lang w:val="en-US"/>
        </w:rPr>
        <w:t>OECD, 2011.</w:t>
      </w:r>
    </w:p>
    <w:p w:rsidR="00307C47" w:rsidRPr="001358B0" w:rsidRDefault="00307C47" w:rsidP="00307C4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iCs/>
          <w:sz w:val="22"/>
          <w:lang w:val="en-US"/>
        </w:rPr>
      </w:pPr>
      <w:r w:rsidRPr="001358B0">
        <w:rPr>
          <w:rFonts w:cs="Times New Roman"/>
          <w:sz w:val="22"/>
          <w:lang w:val="en-US" w:bidi="en-US"/>
        </w:rPr>
        <w:t xml:space="preserve">Towards the Circular Economy: Accelerating the scale-up across global supply chains. Prepared in collaboration with the Ellen MacArthur Foundation and McKinsey &amp; Company. – </w:t>
      </w:r>
      <w:r w:rsidRPr="001358B0">
        <w:rPr>
          <w:rFonts w:cs="Times New Roman"/>
          <w:sz w:val="22"/>
          <w:lang w:val="en-US"/>
        </w:rPr>
        <w:t>Publ. January 2014 by World Economic Forum</w:t>
      </w:r>
      <w:r w:rsidR="005342B9" w:rsidRPr="005342B9">
        <w:rPr>
          <w:rFonts w:cs="Times New Roman"/>
          <w:sz w:val="22"/>
          <w:lang w:val="en-US"/>
        </w:rPr>
        <w:t>. –</w:t>
      </w:r>
      <w:r w:rsidR="005342B9">
        <w:rPr>
          <w:rFonts w:cs="Times New Roman"/>
          <w:sz w:val="22"/>
          <w:lang w:val="en-US"/>
        </w:rPr>
        <w:t xml:space="preserve"> Geneva</w:t>
      </w:r>
      <w:r w:rsidRPr="001358B0">
        <w:rPr>
          <w:rFonts w:cs="Times New Roman"/>
          <w:sz w:val="22"/>
          <w:lang w:val="en-US"/>
        </w:rPr>
        <w:t>, 2014.</w:t>
      </w:r>
      <w:r w:rsidRPr="005342B9">
        <w:rPr>
          <w:rFonts w:cs="Times New Roman"/>
          <w:sz w:val="22"/>
          <w:lang w:val="en-US"/>
        </w:rPr>
        <w:t xml:space="preserve"> – </w:t>
      </w:r>
      <w:r w:rsidRPr="001358B0">
        <w:rPr>
          <w:rFonts w:cs="Times New Roman"/>
          <w:sz w:val="22"/>
          <w:lang w:val="en-US"/>
        </w:rPr>
        <w:t>64 p.</w:t>
      </w:r>
    </w:p>
    <w:p w:rsidR="00FD4D42" w:rsidRPr="001358B0" w:rsidRDefault="00FD4D42" w:rsidP="00B268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 w:val="22"/>
          <w:lang w:val="en-US"/>
        </w:rPr>
      </w:pPr>
      <w:r w:rsidRPr="001358B0">
        <w:rPr>
          <w:rFonts w:cs="Times New Roman"/>
          <w:iCs/>
          <w:sz w:val="22"/>
          <w:lang w:val="en-US"/>
        </w:rPr>
        <w:t>Green Growth Indicators 2014.</w:t>
      </w:r>
      <w:r w:rsidR="00307C47" w:rsidRPr="001358B0">
        <w:rPr>
          <w:rFonts w:cs="Times New Roman"/>
          <w:iCs/>
          <w:sz w:val="22"/>
          <w:lang w:val="en-US"/>
        </w:rPr>
        <w:t xml:space="preserve"> –</w:t>
      </w:r>
      <w:r w:rsidRPr="001358B0">
        <w:rPr>
          <w:rFonts w:cs="Times New Roman"/>
          <w:iCs/>
          <w:sz w:val="22"/>
          <w:lang w:val="en-US"/>
        </w:rPr>
        <w:t xml:space="preserve"> </w:t>
      </w:r>
      <w:r w:rsidRPr="001358B0">
        <w:rPr>
          <w:rFonts w:cs="Times New Roman"/>
          <w:sz w:val="22"/>
          <w:lang w:val="en-US"/>
        </w:rPr>
        <w:t>OECD Green Growth Studies</w:t>
      </w:r>
      <w:r w:rsidRPr="001358B0">
        <w:rPr>
          <w:rFonts w:cs="Times New Roman"/>
          <w:sz w:val="22"/>
          <w:lang w:bidi="ru-RU"/>
        </w:rPr>
        <w:t>ю</w:t>
      </w:r>
      <w:r w:rsidR="00307C47" w:rsidRPr="001358B0">
        <w:rPr>
          <w:rFonts w:cs="Times New Roman"/>
          <w:sz w:val="22"/>
          <w:lang w:val="en-US"/>
        </w:rPr>
        <w:t xml:space="preserve"> –</w:t>
      </w:r>
      <w:r w:rsidRPr="001358B0">
        <w:rPr>
          <w:rFonts w:cs="Times New Roman"/>
          <w:sz w:val="22"/>
          <w:lang w:val="en-US"/>
        </w:rPr>
        <w:t xml:space="preserve"> OECD Publishing</w:t>
      </w:r>
      <w:r w:rsidRPr="001358B0">
        <w:rPr>
          <w:rFonts w:cs="Times New Roman"/>
          <w:sz w:val="22"/>
          <w:lang w:val="en-US" w:bidi="ru-RU"/>
        </w:rPr>
        <w:t xml:space="preserve"> 2014.</w:t>
      </w:r>
      <w:r w:rsidR="00307C47" w:rsidRPr="001358B0">
        <w:rPr>
          <w:rFonts w:cs="Times New Roman"/>
          <w:sz w:val="22"/>
          <w:lang w:val="en-US" w:bidi="ru-RU"/>
        </w:rPr>
        <w:t xml:space="preserve"> –</w:t>
      </w:r>
      <w:r w:rsidRPr="001358B0">
        <w:rPr>
          <w:rFonts w:cs="Times New Roman"/>
          <w:sz w:val="22"/>
          <w:lang w:val="en-US" w:bidi="ru-RU"/>
        </w:rPr>
        <w:t xml:space="preserve"> 147 </w:t>
      </w:r>
      <w:r w:rsidRPr="001358B0">
        <w:rPr>
          <w:rFonts w:cs="Times New Roman"/>
          <w:sz w:val="22"/>
          <w:lang w:val="en-US"/>
        </w:rPr>
        <w:t>p</w:t>
      </w:r>
      <w:r w:rsidRPr="001358B0">
        <w:rPr>
          <w:rFonts w:cs="Times New Roman"/>
          <w:sz w:val="22"/>
          <w:lang w:val="en-US" w:bidi="ru-RU"/>
        </w:rPr>
        <w:t>.</w:t>
      </w:r>
      <w:r w:rsidRPr="001358B0">
        <w:rPr>
          <w:rFonts w:cs="Times New Roman"/>
          <w:sz w:val="22"/>
          <w:lang w:val="en-US"/>
        </w:rPr>
        <w:t xml:space="preserve"> </w:t>
      </w:r>
      <w:r w:rsidRPr="001358B0">
        <w:rPr>
          <w:rFonts w:cs="Times New Roman"/>
          <w:bCs/>
          <w:iCs/>
          <w:sz w:val="22"/>
          <w:lang w:val="en-US" w:bidi="ru-RU"/>
        </w:rPr>
        <w:t>http://dx.doi.org/10.1787/9789264202030-en</w:t>
      </w:r>
      <w:r w:rsidR="00307C47" w:rsidRPr="001358B0">
        <w:rPr>
          <w:rFonts w:cs="Times New Roman"/>
          <w:bCs/>
          <w:iCs/>
          <w:sz w:val="22"/>
          <w:lang w:val="en-US" w:bidi="ru-RU"/>
        </w:rPr>
        <w:t>.</w:t>
      </w:r>
    </w:p>
    <w:p w:rsidR="00FD4D42" w:rsidRPr="005342B9" w:rsidRDefault="00FD4D42" w:rsidP="008277C8">
      <w:pPr>
        <w:rPr>
          <w:lang w:val="en-US"/>
        </w:rPr>
      </w:pPr>
    </w:p>
    <w:p w:rsidR="001358B0" w:rsidRPr="001358B0" w:rsidRDefault="001358B0" w:rsidP="001358B0">
      <w:pPr>
        <w:jc w:val="center"/>
        <w:rPr>
          <w:i/>
        </w:rPr>
      </w:pPr>
      <w:r w:rsidRPr="001358B0">
        <w:rPr>
          <w:i/>
        </w:rPr>
        <w:t>Сведения об авторах:</w:t>
      </w:r>
    </w:p>
    <w:p w:rsidR="001358B0" w:rsidRPr="00F0570F" w:rsidRDefault="001358B0" w:rsidP="001358B0">
      <w:pPr>
        <w:rPr>
          <w:sz w:val="22"/>
        </w:rPr>
      </w:pPr>
      <w:r w:rsidRPr="00F0570F">
        <w:rPr>
          <w:sz w:val="22"/>
        </w:rPr>
        <w:t>Писаренко Анатолий Иванович, академик РАН, Почетный Президент Российского общества лесоводов. 115184, Москва, ул. Пятницкая, 59/19</w:t>
      </w:r>
      <w:r>
        <w:rPr>
          <w:sz w:val="22"/>
        </w:rPr>
        <w:t>;</w:t>
      </w:r>
      <w:r w:rsidRPr="00F0570F">
        <w:rPr>
          <w:sz w:val="22"/>
        </w:rPr>
        <w:t xml:space="preserve"> </w:t>
      </w:r>
      <w:r w:rsidR="005342B9" w:rsidRPr="00F0570F">
        <w:rPr>
          <w:sz w:val="22"/>
        </w:rPr>
        <w:t>тел</w:t>
      </w:r>
      <w:r w:rsidRPr="00F0570F">
        <w:rPr>
          <w:sz w:val="22"/>
        </w:rPr>
        <w:t>.: 8</w:t>
      </w:r>
      <w:r>
        <w:rPr>
          <w:sz w:val="22"/>
        </w:rPr>
        <w:t xml:space="preserve"> </w:t>
      </w:r>
      <w:r w:rsidRPr="00F0570F">
        <w:rPr>
          <w:sz w:val="22"/>
        </w:rPr>
        <w:t>(499)</w:t>
      </w:r>
      <w:r>
        <w:rPr>
          <w:sz w:val="22"/>
        </w:rPr>
        <w:t xml:space="preserve"> </w:t>
      </w:r>
      <w:r w:rsidRPr="00F0570F">
        <w:rPr>
          <w:sz w:val="22"/>
        </w:rPr>
        <w:t>230-85-15.</w:t>
      </w:r>
    </w:p>
    <w:p w:rsidR="001358B0" w:rsidRPr="00F0570F" w:rsidRDefault="001358B0" w:rsidP="001358B0">
      <w:pPr>
        <w:rPr>
          <w:sz w:val="22"/>
        </w:rPr>
      </w:pPr>
      <w:r w:rsidRPr="00F0570F">
        <w:rPr>
          <w:sz w:val="22"/>
        </w:rPr>
        <w:t>Страхов Валентин Викторович, д.с.-х.н., г.н.</w:t>
      </w:r>
      <w:r w:rsidR="0008792F">
        <w:rPr>
          <w:sz w:val="22"/>
        </w:rPr>
        <w:t>с</w:t>
      </w:r>
      <w:r w:rsidRPr="00F0570F">
        <w:rPr>
          <w:sz w:val="22"/>
        </w:rPr>
        <w:t>. ВНИИ лесоводства и механизации лесного хозяйства Рослесхоза</w:t>
      </w:r>
      <w:r>
        <w:rPr>
          <w:sz w:val="22"/>
        </w:rPr>
        <w:t>;</w:t>
      </w:r>
      <w:r w:rsidRPr="00F0570F">
        <w:rPr>
          <w:sz w:val="22"/>
        </w:rPr>
        <w:t xml:space="preserve"> 141202, Московская обл., Пушкинский р-н, г. Пушкино, ул. Иркутская, 15</w:t>
      </w:r>
      <w:r>
        <w:rPr>
          <w:sz w:val="22"/>
        </w:rPr>
        <w:t>;</w:t>
      </w:r>
      <w:r w:rsidRPr="00F0570F">
        <w:rPr>
          <w:sz w:val="22"/>
        </w:rPr>
        <w:t xml:space="preserve"> </w:t>
      </w:r>
      <w:r w:rsidR="005342B9" w:rsidRPr="00F0570F">
        <w:rPr>
          <w:sz w:val="22"/>
        </w:rPr>
        <w:t>тел</w:t>
      </w:r>
      <w:r w:rsidRPr="00F0570F">
        <w:rPr>
          <w:sz w:val="22"/>
        </w:rPr>
        <w:t>.: 8</w:t>
      </w:r>
      <w:r>
        <w:rPr>
          <w:sz w:val="22"/>
        </w:rPr>
        <w:t xml:space="preserve"> </w:t>
      </w:r>
      <w:r w:rsidRPr="00F0570F">
        <w:rPr>
          <w:sz w:val="22"/>
        </w:rPr>
        <w:t>(985)</w:t>
      </w:r>
      <w:r>
        <w:rPr>
          <w:sz w:val="22"/>
        </w:rPr>
        <w:t xml:space="preserve"> </w:t>
      </w:r>
      <w:r w:rsidRPr="00F0570F">
        <w:rPr>
          <w:sz w:val="22"/>
        </w:rPr>
        <w:t>050-75-55</w:t>
      </w:r>
      <w:r>
        <w:rPr>
          <w:sz w:val="22"/>
        </w:rPr>
        <w:t>;</w:t>
      </w:r>
      <w:r w:rsidRPr="00F0570F">
        <w:rPr>
          <w:sz w:val="22"/>
        </w:rPr>
        <w:t xml:space="preserve"> </w:t>
      </w:r>
      <w:r w:rsidRPr="00F0570F">
        <w:rPr>
          <w:sz w:val="22"/>
          <w:lang w:val="en-US"/>
        </w:rPr>
        <w:t>e</w:t>
      </w:r>
      <w:r w:rsidRPr="00F0570F">
        <w:rPr>
          <w:sz w:val="22"/>
        </w:rPr>
        <w:t>-</w:t>
      </w:r>
      <w:r w:rsidRPr="00F0570F">
        <w:rPr>
          <w:sz w:val="22"/>
          <w:lang w:val="en-US"/>
        </w:rPr>
        <w:t>mail</w:t>
      </w:r>
      <w:r w:rsidRPr="00F0570F">
        <w:rPr>
          <w:sz w:val="22"/>
        </w:rPr>
        <w:t xml:space="preserve">: </w:t>
      </w:r>
      <w:r w:rsidRPr="00F0570F">
        <w:rPr>
          <w:sz w:val="22"/>
          <w:lang w:val="en-US"/>
        </w:rPr>
        <w:t>strakhov</w:t>
      </w:r>
      <w:r w:rsidRPr="00F0570F">
        <w:rPr>
          <w:sz w:val="22"/>
        </w:rPr>
        <w:t>48@</w:t>
      </w:r>
      <w:r w:rsidRPr="00F0570F">
        <w:rPr>
          <w:sz w:val="22"/>
          <w:lang w:val="en-US"/>
        </w:rPr>
        <w:t>mail</w:t>
      </w:r>
      <w:r w:rsidRPr="00F0570F">
        <w:rPr>
          <w:sz w:val="22"/>
        </w:rPr>
        <w:t>.</w:t>
      </w:r>
      <w:r w:rsidRPr="00F0570F">
        <w:rPr>
          <w:sz w:val="22"/>
          <w:lang w:val="en-US"/>
        </w:rPr>
        <w:t>ru</w:t>
      </w:r>
      <w:r w:rsidRPr="00F0570F">
        <w:rPr>
          <w:sz w:val="22"/>
        </w:rPr>
        <w:t>.</w:t>
      </w:r>
    </w:p>
    <w:p w:rsidR="001358B0" w:rsidRPr="001358B0" w:rsidRDefault="001358B0" w:rsidP="008277C8"/>
    <w:p w:rsidR="00444D48" w:rsidRPr="001358B0" w:rsidRDefault="00444D48" w:rsidP="008277C8"/>
    <w:sectPr w:rsidR="00444D48" w:rsidRPr="001358B0" w:rsidSect="008277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3F" w:rsidRDefault="00E8193F" w:rsidP="00FC1B29">
      <w:r>
        <w:separator/>
      </w:r>
    </w:p>
  </w:endnote>
  <w:endnote w:type="continuationSeparator" w:id="1">
    <w:p w:rsidR="00E8193F" w:rsidRDefault="00E8193F" w:rsidP="00FC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3F" w:rsidRDefault="00E8193F" w:rsidP="00FC1B29">
      <w:r>
        <w:separator/>
      </w:r>
    </w:p>
  </w:footnote>
  <w:footnote w:type="continuationSeparator" w:id="1">
    <w:p w:rsidR="00E8193F" w:rsidRDefault="00E8193F" w:rsidP="00FC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21"/>
    <w:multiLevelType w:val="hybridMultilevel"/>
    <w:tmpl w:val="32E4E64C"/>
    <w:lvl w:ilvl="0" w:tplc="419C8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A5CAC"/>
    <w:multiLevelType w:val="hybridMultilevel"/>
    <w:tmpl w:val="0938E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887FEF"/>
    <w:multiLevelType w:val="hybridMultilevel"/>
    <w:tmpl w:val="8EE2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1217"/>
    <w:multiLevelType w:val="hybridMultilevel"/>
    <w:tmpl w:val="837807F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2DD3335F"/>
    <w:multiLevelType w:val="hybridMultilevel"/>
    <w:tmpl w:val="DFB25F7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7E316903"/>
    <w:multiLevelType w:val="hybridMultilevel"/>
    <w:tmpl w:val="D6E4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B29"/>
    <w:rsid w:val="00056181"/>
    <w:rsid w:val="0008792F"/>
    <w:rsid w:val="001358B0"/>
    <w:rsid w:val="00155C8D"/>
    <w:rsid w:val="001612CC"/>
    <w:rsid w:val="002761EC"/>
    <w:rsid w:val="002E4299"/>
    <w:rsid w:val="00307C47"/>
    <w:rsid w:val="00367AEF"/>
    <w:rsid w:val="003E1FAF"/>
    <w:rsid w:val="00415C3A"/>
    <w:rsid w:val="00444D48"/>
    <w:rsid w:val="005342B9"/>
    <w:rsid w:val="005E7B71"/>
    <w:rsid w:val="00601BAA"/>
    <w:rsid w:val="00620E67"/>
    <w:rsid w:val="0063469D"/>
    <w:rsid w:val="00645608"/>
    <w:rsid w:val="00662B00"/>
    <w:rsid w:val="006B7090"/>
    <w:rsid w:val="007C772B"/>
    <w:rsid w:val="007E32A8"/>
    <w:rsid w:val="007E381E"/>
    <w:rsid w:val="0082445F"/>
    <w:rsid w:val="008277C8"/>
    <w:rsid w:val="00832FCA"/>
    <w:rsid w:val="008466A1"/>
    <w:rsid w:val="008612A8"/>
    <w:rsid w:val="00885481"/>
    <w:rsid w:val="008E62D8"/>
    <w:rsid w:val="00901A64"/>
    <w:rsid w:val="009501FD"/>
    <w:rsid w:val="00956C73"/>
    <w:rsid w:val="0099314A"/>
    <w:rsid w:val="00A13CBF"/>
    <w:rsid w:val="00A52D43"/>
    <w:rsid w:val="00B26887"/>
    <w:rsid w:val="00B426C7"/>
    <w:rsid w:val="00B65A8C"/>
    <w:rsid w:val="00C11441"/>
    <w:rsid w:val="00C134D6"/>
    <w:rsid w:val="00C25CD5"/>
    <w:rsid w:val="00C608C2"/>
    <w:rsid w:val="00C61926"/>
    <w:rsid w:val="00CA1549"/>
    <w:rsid w:val="00CE7EBC"/>
    <w:rsid w:val="00E12AB2"/>
    <w:rsid w:val="00E702B7"/>
    <w:rsid w:val="00E8193F"/>
    <w:rsid w:val="00EA2D04"/>
    <w:rsid w:val="00EB3452"/>
    <w:rsid w:val="00F567C3"/>
    <w:rsid w:val="00F63DD0"/>
    <w:rsid w:val="00FC1B29"/>
    <w:rsid w:val="00FC245B"/>
    <w:rsid w:val="00FD4D42"/>
    <w:rsid w:val="00FF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33CC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C8"/>
    <w:pPr>
      <w:spacing w:line="240" w:lineRule="auto"/>
      <w:ind w:firstLine="709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B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1B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B29"/>
    <w:rPr>
      <w:vertAlign w:val="superscript"/>
    </w:rPr>
  </w:style>
  <w:style w:type="character" w:styleId="a6">
    <w:name w:val="Hyperlink"/>
    <w:basedOn w:val="a0"/>
    <w:uiPriority w:val="99"/>
    <w:unhideWhenUsed/>
    <w:rsid w:val="00FD4D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33CC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B2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1B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B29"/>
    <w:rPr>
      <w:vertAlign w:val="superscript"/>
    </w:rPr>
  </w:style>
  <w:style w:type="character" w:styleId="a6">
    <w:name w:val="Hyperlink"/>
    <w:basedOn w:val="a0"/>
    <w:uiPriority w:val="99"/>
    <w:unhideWhenUsed/>
    <w:rsid w:val="00FD4D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16</cp:revision>
  <cp:lastPrinted>2019-07-25T09:55:00Z</cp:lastPrinted>
  <dcterms:created xsi:type="dcterms:W3CDTF">2019-07-25T08:15:00Z</dcterms:created>
  <dcterms:modified xsi:type="dcterms:W3CDTF">2019-07-25T12:35:00Z</dcterms:modified>
</cp:coreProperties>
</file>